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142" w:type="dxa"/>
        <w:tblBorders>
          <w:bottom w:val="single" w:sz="12" w:space="0" w:color="auto"/>
        </w:tblBorders>
        <w:tblLayout w:type="fixed"/>
        <w:tblLook w:val="0000" w:firstRow="0" w:lastRow="0" w:firstColumn="0" w:lastColumn="0" w:noHBand="0" w:noVBand="0"/>
      </w:tblPr>
      <w:tblGrid>
        <w:gridCol w:w="8364"/>
        <w:gridCol w:w="1985"/>
      </w:tblGrid>
      <w:tr w:rsidR="00892D9B" w:rsidRPr="00DE03EA" w14:paraId="6E68E5CF" w14:textId="77777777" w:rsidTr="0026136A">
        <w:trPr>
          <w:cantSplit/>
          <w:trHeight w:val="1276"/>
        </w:trPr>
        <w:tc>
          <w:tcPr>
            <w:tcW w:w="8364" w:type="dxa"/>
            <w:vAlign w:val="center"/>
          </w:tcPr>
          <w:p w14:paraId="5F42B67A" w14:textId="2F0C2CAB" w:rsidR="00892D9B" w:rsidRPr="00892D9B" w:rsidRDefault="00181A1E" w:rsidP="00FB4117">
            <w:pPr>
              <w:pStyle w:val="btheading"/>
              <w:spacing w:before="200" w:after="200" w:line="240" w:lineRule="auto"/>
              <w:ind w:left="41"/>
              <w:rPr>
                <w:rFonts w:ascii="Calibri" w:hAnsi="Calibri" w:cs="Calibri"/>
                <w:sz w:val="52"/>
                <w:szCs w:val="40"/>
              </w:rPr>
            </w:pPr>
            <w:r>
              <w:rPr>
                <w:rFonts w:ascii="Calibri" w:hAnsi="Calibri" w:cs="Calibri"/>
                <w:b/>
                <w:sz w:val="52"/>
                <w:szCs w:val="40"/>
              </w:rPr>
              <w:t>Data Privacy Management Procedure</w:t>
            </w:r>
            <w:r w:rsidR="00892D9B">
              <w:rPr>
                <w:rFonts w:ascii="Calibri" w:hAnsi="Calibri" w:cs="Calibri"/>
                <w:b/>
                <w:sz w:val="52"/>
                <w:szCs w:val="40"/>
              </w:rPr>
              <w:t xml:space="preserve"> </w:t>
            </w:r>
            <w:r w:rsidR="00892D9B">
              <w:rPr>
                <w:rFonts w:ascii="Calibri" w:hAnsi="Calibri" w:cs="Calibri"/>
                <w:b/>
                <w:sz w:val="52"/>
                <w:szCs w:val="40"/>
              </w:rPr>
              <w:br/>
            </w:r>
            <w:r w:rsidR="00892D9B" w:rsidRPr="0026136A">
              <w:rPr>
                <w:rFonts w:ascii="Calibri" w:hAnsi="Calibri" w:cs="Calibri"/>
                <w:sz w:val="52"/>
                <w:szCs w:val="40"/>
              </w:rPr>
              <w:t xml:space="preserve">for </w:t>
            </w:r>
            <w:r w:rsidR="001E3E9E" w:rsidRPr="001E3E9E">
              <w:rPr>
                <w:rFonts w:ascii="Calibri" w:hAnsi="Calibri" w:cs="Calibri"/>
                <w:color w:val="FF0000"/>
                <w:sz w:val="52"/>
                <w:szCs w:val="40"/>
              </w:rPr>
              <w:t>&lt;</w:t>
            </w:r>
            <w:r w:rsidR="005524E6">
              <w:rPr>
                <w:rFonts w:ascii="Calibri" w:hAnsi="Calibri" w:cs="Calibri"/>
                <w:color w:val="FF0000"/>
                <w:sz w:val="52"/>
                <w:szCs w:val="40"/>
              </w:rPr>
              <w:t>Group</w:t>
            </w:r>
            <w:r w:rsidR="001E3E9E" w:rsidRPr="001E3E9E">
              <w:rPr>
                <w:rFonts w:ascii="Calibri" w:hAnsi="Calibri" w:cs="Calibri"/>
                <w:color w:val="FF0000"/>
                <w:sz w:val="52"/>
                <w:szCs w:val="40"/>
              </w:rPr>
              <w:t>&gt;</w:t>
            </w:r>
          </w:p>
        </w:tc>
        <w:tc>
          <w:tcPr>
            <w:tcW w:w="1985" w:type="dxa"/>
            <w:vAlign w:val="center"/>
          </w:tcPr>
          <w:p w14:paraId="1D5F5C69" w14:textId="63EFDB54" w:rsidR="00892D9B" w:rsidRPr="00DE03EA" w:rsidRDefault="00892D9B" w:rsidP="00907A13">
            <w:pPr>
              <w:pStyle w:val="btlogo"/>
              <w:spacing w:before="0" w:line="240" w:lineRule="auto"/>
              <w:rPr>
                <w:rFonts w:ascii="Calibri" w:hAnsi="Calibri" w:cs="Calibri"/>
              </w:rPr>
            </w:pPr>
            <w:r>
              <w:rPr>
                <w:rFonts w:ascii="Calibri" w:hAnsi="Calibri" w:cs="Calibri"/>
              </w:rPr>
              <w:t xml:space="preserve">       </w:t>
            </w:r>
          </w:p>
        </w:tc>
      </w:tr>
    </w:tbl>
    <w:p w14:paraId="4CE744AE" w14:textId="29C4127D" w:rsidR="00892D9B" w:rsidRPr="0026136A" w:rsidRDefault="00892D9B" w:rsidP="0026136A">
      <w:pPr>
        <w:spacing w:before="240"/>
        <w:rPr>
          <w:color w:val="595959" w:themeColor="text1" w:themeTint="A6"/>
          <w:sz w:val="36"/>
        </w:rPr>
      </w:pPr>
      <w:r w:rsidRPr="0026136A">
        <w:rPr>
          <w:b/>
          <w:color w:val="595959" w:themeColor="text1" w:themeTint="A6"/>
          <w:sz w:val="36"/>
        </w:rPr>
        <w:t>Issue 1:</w:t>
      </w:r>
      <w:r w:rsidRPr="0026136A">
        <w:rPr>
          <w:color w:val="595959" w:themeColor="text1" w:themeTint="A6"/>
          <w:sz w:val="36"/>
        </w:rPr>
        <w:t xml:space="preserve"> </w:t>
      </w:r>
      <w:r w:rsidR="005524E6">
        <w:rPr>
          <w:color w:val="595959" w:themeColor="text1" w:themeTint="A6"/>
          <w:sz w:val="36"/>
        </w:rPr>
        <w:t>April</w:t>
      </w:r>
      <w:r w:rsidR="00181A1E">
        <w:rPr>
          <w:color w:val="595959" w:themeColor="text1" w:themeTint="A6"/>
          <w:sz w:val="36"/>
        </w:rPr>
        <w:t xml:space="preserve"> 2018</w:t>
      </w:r>
    </w:p>
    <w:p w14:paraId="4C3F4F91" w14:textId="77777777" w:rsidR="00892D9B" w:rsidRDefault="00892D9B">
      <w:pPr>
        <w:rPr>
          <w:b/>
          <w:sz w:val="28"/>
        </w:rPr>
      </w:pPr>
    </w:p>
    <w:p w14:paraId="5824EC67" w14:textId="572AB2E0" w:rsidR="003D6901" w:rsidRDefault="003D6901" w:rsidP="00892D9B">
      <w:pPr>
        <w:rPr>
          <w:b/>
          <w:sz w:val="28"/>
        </w:rPr>
      </w:pPr>
      <w:r w:rsidRPr="00E161D5">
        <w:rPr>
          <w:b/>
          <w:sz w:val="28"/>
        </w:rPr>
        <w:t xml:space="preserve">About this </w:t>
      </w:r>
      <w:r w:rsidR="00DD7BF6">
        <w:rPr>
          <w:b/>
          <w:sz w:val="28"/>
        </w:rPr>
        <w:t>procedure</w:t>
      </w:r>
    </w:p>
    <w:p w14:paraId="2803DC26" w14:textId="7C7BB3FB" w:rsidR="00B97A39" w:rsidRPr="00B97A39" w:rsidRDefault="00B97A39" w:rsidP="00B97A39">
      <w:r w:rsidRPr="00B97A39">
        <w:t xml:space="preserve">This procedure defines how </w:t>
      </w:r>
      <w:r w:rsidR="001E3E9E" w:rsidRPr="001E3E9E">
        <w:rPr>
          <w:color w:val="FF0000"/>
        </w:rPr>
        <w:t>&lt;</w:t>
      </w:r>
      <w:r w:rsidR="005524E6">
        <w:rPr>
          <w:color w:val="FF0000"/>
        </w:rPr>
        <w:t>Group</w:t>
      </w:r>
      <w:proofErr w:type="gramStart"/>
      <w:r w:rsidR="001E3E9E" w:rsidRPr="001E3E9E">
        <w:rPr>
          <w:color w:val="FF0000"/>
        </w:rPr>
        <w:t>&gt;</w:t>
      </w:r>
      <w:r w:rsidRPr="001E3E9E">
        <w:rPr>
          <w:color w:val="FF0000"/>
        </w:rPr>
        <w:t xml:space="preserve"> </w:t>
      </w:r>
      <w:r w:rsidRPr="00B97A39">
        <w:t xml:space="preserve"> manage</w:t>
      </w:r>
      <w:r w:rsidR="005524E6">
        <w:t>s</w:t>
      </w:r>
      <w:proofErr w:type="gramEnd"/>
      <w:r w:rsidRPr="00B97A39">
        <w:t xml:space="preserve"> personal data to assure appropriate data privacy in accordance with the UK Data Protection Bill 2017.</w:t>
      </w:r>
      <w:r w:rsidR="00E53C15">
        <w:t xml:space="preserve"> It should be read in conjunction with </w:t>
      </w:r>
      <w:r w:rsidR="00980C25">
        <w:t>current</w:t>
      </w:r>
      <w:r w:rsidR="00E53C15">
        <w:t xml:space="preserve"> information and guidance published by the UK Information Commissioner’s Office (ICO – </w:t>
      </w:r>
      <w:hyperlink r:id="rId6" w:history="1">
        <w:r w:rsidR="00980C25" w:rsidRPr="00D52740">
          <w:rPr>
            <w:rStyle w:val="Hyperlink"/>
          </w:rPr>
          <w:t>http://ico.org.uk/</w:t>
        </w:r>
      </w:hyperlink>
      <w:r w:rsidR="00980C25">
        <w:t xml:space="preserve">) </w:t>
      </w:r>
    </w:p>
    <w:p w14:paraId="1A3BFC82" w14:textId="77777777" w:rsidR="005524E6" w:rsidRDefault="00B97A39" w:rsidP="00B97A39">
      <w:r w:rsidRPr="00B97A39">
        <w:t xml:space="preserve">Note that </w:t>
      </w:r>
      <w:r w:rsidR="00772BD5">
        <w:t xml:space="preserve">once the UK leaves the European Union, </w:t>
      </w:r>
      <w:r w:rsidRPr="00B97A39">
        <w:t xml:space="preserve">additional requirements of the European Union General Data Protection Regulation (GDPR) (Regulation (EU) 2016/679) may </w:t>
      </w:r>
      <w:r w:rsidR="00772BD5">
        <w:t>continue to</w:t>
      </w:r>
      <w:r w:rsidRPr="00B97A39">
        <w:t xml:space="preserve"> apply with respect to data processed relating to EU citizens</w:t>
      </w:r>
      <w:r>
        <w:t xml:space="preserve">, which may include </w:t>
      </w:r>
      <w:r w:rsidR="001E3E9E">
        <w:t xml:space="preserve">some youth </w:t>
      </w:r>
      <w:r>
        <w:t>members</w:t>
      </w:r>
      <w:r w:rsidR="001E3E9E">
        <w:t xml:space="preserve"> and volunteers</w:t>
      </w:r>
      <w:r w:rsidRPr="00B97A39">
        <w:t xml:space="preserve">. </w:t>
      </w:r>
    </w:p>
    <w:p w14:paraId="3721557A" w14:textId="20FE3D1F" w:rsidR="00B97A39" w:rsidRPr="00B97A39" w:rsidRDefault="008D5F26" w:rsidP="00B97A39">
      <w:r>
        <w:t xml:space="preserve">As </w:t>
      </w:r>
      <w:r w:rsidR="001E3E9E" w:rsidRPr="001E3E9E">
        <w:rPr>
          <w:color w:val="FF0000"/>
        </w:rPr>
        <w:t>&lt;</w:t>
      </w:r>
      <w:r w:rsidR="005524E6">
        <w:rPr>
          <w:color w:val="FF0000"/>
        </w:rPr>
        <w:t>Group</w:t>
      </w:r>
      <w:r w:rsidR="001E3E9E" w:rsidRPr="001E3E9E">
        <w:rPr>
          <w:color w:val="FF0000"/>
        </w:rPr>
        <w:t>&gt;</w:t>
      </w:r>
      <w:r>
        <w:t xml:space="preserve"> does not regularly process data relating to citizens of the EU as a matter of course, it is considered that the UK</w:t>
      </w:r>
      <w:r w:rsidR="00B97A39" w:rsidRPr="00B97A39">
        <w:t xml:space="preserve"> Data Protection Bill 2017 will meet the requirements of </w:t>
      </w:r>
      <w:r w:rsidR="00204389">
        <w:t xml:space="preserve">the </w:t>
      </w:r>
      <w:r w:rsidR="00B97A39" w:rsidRPr="00B97A39">
        <w:t>EU GDPR</w:t>
      </w:r>
      <w:r w:rsidR="00204389">
        <w:t xml:space="preserve"> regulation</w:t>
      </w:r>
      <w:r>
        <w:t>. Should this position change</w:t>
      </w:r>
      <w:r w:rsidR="00500226">
        <w:t xml:space="preserve"> th</w:t>
      </w:r>
      <w:r w:rsidR="00D36ED3">
        <w:t>is procedure will be reviewed.</w:t>
      </w:r>
    </w:p>
    <w:p w14:paraId="0AC9761E" w14:textId="2CCA13E2" w:rsidR="00D05552" w:rsidRDefault="00B97A39" w:rsidP="00B97A39">
      <w:r w:rsidRPr="00B97A39">
        <w:t xml:space="preserve">The general </w:t>
      </w:r>
      <w:r w:rsidR="00D36ED3">
        <w:t xml:space="preserve">requirements for data protection are defined in the </w:t>
      </w:r>
      <w:r w:rsidR="007D4D84" w:rsidRPr="007D4D84">
        <w:rPr>
          <w:color w:val="FF0000"/>
        </w:rPr>
        <w:t>&lt;</w:t>
      </w:r>
      <w:r w:rsidR="005524E6">
        <w:rPr>
          <w:color w:val="FF0000"/>
        </w:rPr>
        <w:t>Group</w:t>
      </w:r>
      <w:r w:rsidR="007D4D84" w:rsidRPr="007D4D84">
        <w:rPr>
          <w:color w:val="FF0000"/>
        </w:rPr>
        <w:t>&gt;</w:t>
      </w:r>
      <w:r w:rsidR="00D36ED3">
        <w:t xml:space="preserve"> Data Protection Policy.</w:t>
      </w:r>
    </w:p>
    <w:p w14:paraId="2BC3AC83" w14:textId="5737DBED" w:rsidR="00D05552" w:rsidRDefault="00D36ED3" w:rsidP="00B97A39">
      <w:r>
        <w:t xml:space="preserve">The general </w:t>
      </w:r>
      <w:r w:rsidR="00B97A39" w:rsidRPr="00B97A39">
        <w:t xml:space="preserve">process for assuring data privacy is shown </w:t>
      </w:r>
      <w:r w:rsidR="00D05552">
        <w:t xml:space="preserve">overleaf. This is supplemented by </w:t>
      </w:r>
      <w:r w:rsidR="006C6E5D">
        <w:t>four</w:t>
      </w:r>
      <w:r w:rsidR="00D05552">
        <w:t xml:space="preserve"> additional procedures:</w:t>
      </w:r>
    </w:p>
    <w:p w14:paraId="50834439" w14:textId="66E0B274" w:rsidR="00D05552" w:rsidRDefault="00D05552" w:rsidP="00D05552">
      <w:pPr>
        <w:pStyle w:val="ListParagraph"/>
        <w:numPr>
          <w:ilvl w:val="0"/>
          <w:numId w:val="12"/>
        </w:numPr>
      </w:pPr>
      <w:r>
        <w:t>Subject Data Access Request Procedure</w:t>
      </w:r>
    </w:p>
    <w:p w14:paraId="421F0FB3" w14:textId="7B06C245" w:rsidR="006C6E5D" w:rsidRDefault="00D05552" w:rsidP="00B97A39">
      <w:pPr>
        <w:pStyle w:val="ListParagraph"/>
        <w:numPr>
          <w:ilvl w:val="0"/>
          <w:numId w:val="12"/>
        </w:numPr>
      </w:pPr>
      <w:r>
        <w:t xml:space="preserve">Subject Data </w:t>
      </w:r>
      <w:r w:rsidR="006C6E5D">
        <w:t>Correction Request Procedure</w:t>
      </w:r>
    </w:p>
    <w:p w14:paraId="1EAB727C" w14:textId="77777777" w:rsidR="006C6E5D" w:rsidRDefault="006C6E5D" w:rsidP="00B97A39">
      <w:pPr>
        <w:pStyle w:val="ListParagraph"/>
        <w:numPr>
          <w:ilvl w:val="0"/>
          <w:numId w:val="12"/>
        </w:numPr>
      </w:pPr>
      <w:r>
        <w:t>Subject Data Deletion Request Procedure</w:t>
      </w:r>
    </w:p>
    <w:p w14:paraId="3977BEAE" w14:textId="4B05200D" w:rsidR="006C6E5D" w:rsidRDefault="006C6E5D" w:rsidP="00B97A39">
      <w:pPr>
        <w:pStyle w:val="ListParagraph"/>
        <w:numPr>
          <w:ilvl w:val="0"/>
          <w:numId w:val="12"/>
        </w:numPr>
        <w:sectPr w:rsidR="006C6E5D" w:rsidSect="0026136A">
          <w:pgSz w:w="11906" w:h="16838"/>
          <w:pgMar w:top="709" w:right="991" w:bottom="1440" w:left="851" w:header="708" w:footer="708" w:gutter="0"/>
          <w:cols w:space="708"/>
          <w:docGrid w:linePitch="360"/>
        </w:sectPr>
      </w:pPr>
      <w:r>
        <w:t>Subject Data Breach Reporting Procedure</w:t>
      </w:r>
    </w:p>
    <w:p w14:paraId="68A7115F" w14:textId="1EC6B533" w:rsidR="00D05552" w:rsidRPr="00B97A39" w:rsidRDefault="00D05552" w:rsidP="00B97A39">
      <w:r>
        <w:object w:dxaOrig="18001" w:dyaOrig="8071" w14:anchorId="3E529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328.5pt" o:ole="">
            <v:imagedata r:id="rId7" o:title=""/>
          </v:shape>
          <o:OLEObject Type="Embed" ProgID="Visio.Drawing.15" ShapeID="_x0000_i1025" DrawAspect="Content" ObjectID="_1676363338" r:id="rId8"/>
        </w:object>
      </w:r>
    </w:p>
    <w:p w14:paraId="40517296" w14:textId="14FCEE83" w:rsidR="00D05552" w:rsidRDefault="00D05552" w:rsidP="00892D9B">
      <w:pPr>
        <w:rPr>
          <w:b/>
          <w:sz w:val="28"/>
        </w:rPr>
      </w:pPr>
    </w:p>
    <w:p w14:paraId="4656E225" w14:textId="66D674EC" w:rsidR="006C6E5D" w:rsidRDefault="006C6E5D" w:rsidP="006C6E5D">
      <w:pPr>
        <w:sectPr w:rsidR="006C6E5D" w:rsidSect="00D05552">
          <w:pgSz w:w="16838" w:h="11906" w:orient="landscape"/>
          <w:pgMar w:top="851" w:right="709" w:bottom="991" w:left="1440" w:header="708" w:footer="708" w:gutter="0"/>
          <w:cols w:space="708"/>
          <w:docGrid w:linePitch="360"/>
        </w:sectPr>
      </w:pPr>
      <w:r>
        <w:t>This process is described in more detail below</w:t>
      </w:r>
    </w:p>
    <w:tbl>
      <w:tblPr>
        <w:tblStyle w:val="TableGrid"/>
        <w:tblW w:w="0" w:type="auto"/>
        <w:tblLook w:val="04A0" w:firstRow="1" w:lastRow="0" w:firstColumn="1" w:lastColumn="0" w:noHBand="0" w:noVBand="1"/>
      </w:tblPr>
      <w:tblGrid>
        <w:gridCol w:w="1949"/>
        <w:gridCol w:w="8105"/>
      </w:tblGrid>
      <w:tr w:rsidR="00DB3AD7" w14:paraId="024C280B" w14:textId="77777777" w:rsidTr="004709AE">
        <w:trPr>
          <w:tblHeader/>
        </w:trPr>
        <w:tc>
          <w:tcPr>
            <w:tcW w:w="1949" w:type="dxa"/>
            <w:shd w:val="clear" w:color="auto" w:fill="E7E6E6" w:themeFill="background2"/>
          </w:tcPr>
          <w:p w14:paraId="1E815E47" w14:textId="28292AE1" w:rsidR="00DB3AD7" w:rsidRPr="008E530D" w:rsidRDefault="00DB3AD7" w:rsidP="00A30AF8">
            <w:pPr>
              <w:spacing w:before="60" w:after="60"/>
              <w:rPr>
                <w:b/>
              </w:rPr>
            </w:pPr>
            <w:r w:rsidRPr="008E530D">
              <w:rPr>
                <w:b/>
              </w:rPr>
              <w:lastRenderedPageBreak/>
              <w:t>Step</w:t>
            </w:r>
          </w:p>
        </w:tc>
        <w:tc>
          <w:tcPr>
            <w:tcW w:w="8105" w:type="dxa"/>
            <w:shd w:val="clear" w:color="auto" w:fill="E7E6E6" w:themeFill="background2"/>
          </w:tcPr>
          <w:p w14:paraId="640A82E3" w14:textId="305B7470" w:rsidR="00DB3AD7" w:rsidRPr="008E530D" w:rsidRDefault="00DB3AD7" w:rsidP="00A30AF8">
            <w:pPr>
              <w:spacing w:before="60" w:after="60"/>
              <w:rPr>
                <w:b/>
              </w:rPr>
            </w:pPr>
            <w:r w:rsidRPr="008E530D">
              <w:rPr>
                <w:b/>
              </w:rPr>
              <w:t>Description</w:t>
            </w:r>
          </w:p>
        </w:tc>
      </w:tr>
      <w:tr w:rsidR="00DB3AD7" w14:paraId="398A86B5" w14:textId="77777777" w:rsidTr="00A30AF8">
        <w:tc>
          <w:tcPr>
            <w:tcW w:w="1949" w:type="dxa"/>
          </w:tcPr>
          <w:p w14:paraId="3EA8DEDA" w14:textId="12B5AC1E" w:rsidR="00DB3AD7" w:rsidRPr="00C55916" w:rsidRDefault="008E530D" w:rsidP="00A30AF8">
            <w:pPr>
              <w:pStyle w:val="ListParagraph"/>
              <w:numPr>
                <w:ilvl w:val="0"/>
                <w:numId w:val="15"/>
              </w:numPr>
              <w:spacing w:before="60" w:after="60"/>
              <w:ind w:left="447"/>
              <w:rPr>
                <w:b/>
              </w:rPr>
            </w:pPr>
            <w:r w:rsidRPr="00C55916">
              <w:rPr>
                <w:b/>
              </w:rPr>
              <w:t>Identify Data</w:t>
            </w:r>
          </w:p>
        </w:tc>
        <w:tc>
          <w:tcPr>
            <w:tcW w:w="8105" w:type="dxa"/>
          </w:tcPr>
          <w:p w14:paraId="24C8AE20" w14:textId="54CDC24A" w:rsidR="00B100DE" w:rsidRDefault="00AB1855" w:rsidP="00A30AF8">
            <w:pPr>
              <w:spacing w:before="60" w:after="60"/>
            </w:pPr>
            <w:r>
              <w:t xml:space="preserve">The </w:t>
            </w:r>
            <w:r w:rsidR="00561C4A">
              <w:t xml:space="preserve">Groups </w:t>
            </w:r>
            <w:r>
              <w:t xml:space="preserve">Data Protection </w:t>
            </w:r>
            <w:r w:rsidR="00561C4A">
              <w:t xml:space="preserve">Lead </w:t>
            </w:r>
            <w:r>
              <w:t xml:space="preserve">is responsible for </w:t>
            </w:r>
            <w:r w:rsidR="00561C4A">
              <w:t xml:space="preserve">ensuring that </w:t>
            </w:r>
            <w:r>
              <w:t>all personal data</w:t>
            </w:r>
            <w:r w:rsidR="00561C4A">
              <w:t xml:space="preserve"> is </w:t>
            </w:r>
            <w:proofErr w:type="gramStart"/>
            <w:r w:rsidR="00D351B8">
              <w:t xml:space="preserve">identified </w:t>
            </w:r>
            <w:r>
              <w:t xml:space="preserve"> supported</w:t>
            </w:r>
            <w:proofErr w:type="gramEnd"/>
            <w:r>
              <w:t xml:space="preserve"> by </w:t>
            </w:r>
            <w:r w:rsidR="009C2C8A">
              <w:t xml:space="preserve">the </w:t>
            </w:r>
            <w:r>
              <w:t xml:space="preserve">appropriate </w:t>
            </w:r>
            <w:r w:rsidR="009C2C8A">
              <w:t>Responsible Office</w:t>
            </w:r>
            <w:r w:rsidR="00B100DE">
              <w:t>r</w:t>
            </w:r>
            <w:r w:rsidR="009C2C8A">
              <w:t xml:space="preserve"> (data owner) and other </w:t>
            </w:r>
            <w:r w:rsidR="00B100DE">
              <w:t xml:space="preserve">appropriate volunteers </w:t>
            </w:r>
            <w:r w:rsidR="00C30FFC">
              <w:t xml:space="preserve">in </w:t>
            </w:r>
            <w:r w:rsidR="008D7FB4">
              <w:rPr>
                <w:color w:val="FF0000"/>
              </w:rPr>
              <w:t>&lt;Scout Group&gt;</w:t>
            </w:r>
            <w:r w:rsidR="00B100DE">
              <w:t>.</w:t>
            </w:r>
          </w:p>
          <w:p w14:paraId="3CC32EB5" w14:textId="60B685DF" w:rsidR="00DB3AD7" w:rsidRDefault="000E1E49" w:rsidP="00A30AF8">
            <w:pPr>
              <w:spacing w:before="60" w:after="60"/>
            </w:pPr>
            <w:r>
              <w:t>For each set of personal data processed, t</w:t>
            </w:r>
            <w:r w:rsidR="008E530D">
              <w:t xml:space="preserve">he </w:t>
            </w:r>
            <w:r w:rsidR="008D7FB4">
              <w:rPr>
                <w:color w:val="FF0000"/>
              </w:rPr>
              <w:t>&lt;Scout Group&gt;</w:t>
            </w:r>
            <w:r w:rsidR="00643C20">
              <w:t xml:space="preserve"> data protection policy</w:t>
            </w:r>
            <w:r w:rsidR="00F74910">
              <w:t xml:space="preserve"> </w:t>
            </w:r>
            <w:r>
              <w:t>defines:</w:t>
            </w:r>
          </w:p>
          <w:p w14:paraId="66854368" w14:textId="4F42BBB5" w:rsidR="000E1E49" w:rsidRDefault="004471D9" w:rsidP="00A30AF8">
            <w:pPr>
              <w:pStyle w:val="ListParagraph"/>
              <w:numPr>
                <w:ilvl w:val="0"/>
                <w:numId w:val="16"/>
              </w:numPr>
              <w:spacing w:before="60" w:after="60"/>
            </w:pPr>
            <w:r>
              <w:t>The d</w:t>
            </w:r>
            <w:r w:rsidR="000E1E49">
              <w:t>ata description</w:t>
            </w:r>
          </w:p>
          <w:p w14:paraId="2F3CBB9B" w14:textId="7E9E2F4B" w:rsidR="000E1E49" w:rsidRDefault="004471D9" w:rsidP="00A30AF8">
            <w:pPr>
              <w:pStyle w:val="ListParagraph"/>
              <w:numPr>
                <w:ilvl w:val="0"/>
                <w:numId w:val="16"/>
              </w:numPr>
              <w:spacing w:before="60" w:after="60"/>
            </w:pPr>
            <w:r>
              <w:t>The p</w:t>
            </w:r>
            <w:r w:rsidR="000E1E49">
              <w:t>ersonal data included</w:t>
            </w:r>
          </w:p>
          <w:p w14:paraId="4470C95F" w14:textId="77777777" w:rsidR="000E1E49" w:rsidRDefault="000E1E49" w:rsidP="00A30AF8">
            <w:pPr>
              <w:pStyle w:val="ListParagraph"/>
              <w:numPr>
                <w:ilvl w:val="0"/>
                <w:numId w:val="16"/>
              </w:numPr>
              <w:spacing w:before="60" w:after="60"/>
            </w:pPr>
            <w:r>
              <w:t>How and where data is stored</w:t>
            </w:r>
          </w:p>
          <w:p w14:paraId="66CCEDDC" w14:textId="7F5AE66F" w:rsidR="000E1E49" w:rsidRDefault="004471D9" w:rsidP="00A30AF8">
            <w:pPr>
              <w:pStyle w:val="ListParagraph"/>
              <w:numPr>
                <w:ilvl w:val="0"/>
                <w:numId w:val="16"/>
              </w:numPr>
              <w:spacing w:before="60" w:after="60"/>
            </w:pPr>
            <w:r>
              <w:t>The d</w:t>
            </w:r>
            <w:r w:rsidR="000E1E49">
              <w:t>ata retention policy</w:t>
            </w:r>
          </w:p>
          <w:p w14:paraId="128BF653" w14:textId="560720E7" w:rsidR="000E1E49" w:rsidRDefault="004471D9" w:rsidP="00A30AF8">
            <w:pPr>
              <w:pStyle w:val="ListParagraph"/>
              <w:numPr>
                <w:ilvl w:val="0"/>
                <w:numId w:val="16"/>
              </w:numPr>
              <w:spacing w:before="60" w:after="60"/>
            </w:pPr>
            <w:r>
              <w:t xml:space="preserve">The </w:t>
            </w:r>
            <w:r w:rsidR="000E1E49">
              <w:t xml:space="preserve">Responsible </w:t>
            </w:r>
            <w:r>
              <w:t>O</w:t>
            </w:r>
            <w:r w:rsidR="000E1E49">
              <w:t>fficer (data owner)</w:t>
            </w:r>
          </w:p>
          <w:p w14:paraId="1F1456FB" w14:textId="77777777" w:rsidR="000E1E49" w:rsidRDefault="000E1E49" w:rsidP="00A30AF8">
            <w:pPr>
              <w:pStyle w:val="ListParagraph"/>
              <w:spacing w:before="60" w:after="60"/>
            </w:pPr>
          </w:p>
          <w:p w14:paraId="6F7A1528" w14:textId="23B35CD4" w:rsidR="000E1E49" w:rsidRDefault="000E1E49" w:rsidP="00A30AF8">
            <w:pPr>
              <w:spacing w:before="60" w:after="60"/>
            </w:pPr>
            <w:r>
              <w:t>Where new data sets or changes to datasets (including data no longer held</w:t>
            </w:r>
            <w:r w:rsidR="002A6E5B">
              <w:t xml:space="preserve">) </w:t>
            </w:r>
            <w:r>
              <w:t>are identified</w:t>
            </w:r>
            <w:r w:rsidR="002A6E5B">
              <w:t>, the data protection policy should be updated to reflect the changes</w:t>
            </w:r>
            <w:r w:rsidR="004471D9">
              <w:t xml:space="preserve"> and steps 2 – 4 </w:t>
            </w:r>
            <w:r w:rsidR="001C08CC">
              <w:t xml:space="preserve">(and possibly step 6) </w:t>
            </w:r>
            <w:r w:rsidR="004471D9">
              <w:t>repeated for the dataset</w:t>
            </w:r>
          </w:p>
        </w:tc>
      </w:tr>
      <w:tr w:rsidR="00DB3AD7" w14:paraId="5B570070" w14:textId="77777777" w:rsidTr="00A30AF8">
        <w:tc>
          <w:tcPr>
            <w:tcW w:w="1949" w:type="dxa"/>
          </w:tcPr>
          <w:p w14:paraId="125EAC3E" w14:textId="6CEC686A" w:rsidR="00DB3AD7" w:rsidRPr="00C55916" w:rsidRDefault="00C55916" w:rsidP="00A30AF8">
            <w:pPr>
              <w:pStyle w:val="ListParagraph"/>
              <w:numPr>
                <w:ilvl w:val="0"/>
                <w:numId w:val="15"/>
              </w:numPr>
              <w:spacing w:before="60" w:after="60"/>
              <w:ind w:left="447"/>
              <w:rPr>
                <w:b/>
              </w:rPr>
            </w:pPr>
            <w:r w:rsidRPr="00C55916">
              <w:rPr>
                <w:b/>
              </w:rPr>
              <w:t>Identify and Document Requirements</w:t>
            </w:r>
          </w:p>
        </w:tc>
        <w:tc>
          <w:tcPr>
            <w:tcW w:w="8105" w:type="dxa"/>
          </w:tcPr>
          <w:p w14:paraId="387DE407" w14:textId="652EC86D" w:rsidR="00C74A5D" w:rsidRDefault="00C55916" w:rsidP="00A30AF8">
            <w:pPr>
              <w:spacing w:before="60" w:after="60"/>
            </w:pPr>
            <w:r>
              <w:t xml:space="preserve">For all personal data, the Data Protection Officer </w:t>
            </w:r>
            <w:r w:rsidR="001C08CC">
              <w:t xml:space="preserve">is </w:t>
            </w:r>
            <w:r w:rsidR="00B100DE">
              <w:t>responsible</w:t>
            </w:r>
            <w:r>
              <w:t xml:space="preserve"> for </w:t>
            </w:r>
            <w:r w:rsidR="000C35B7">
              <w:t>identifying data protection and data privacy requirements</w:t>
            </w:r>
            <w:r w:rsidR="00B100DE">
              <w:t>, supported by the appropriate Responsible Officer (data owner) and other appropriate volunteers.</w:t>
            </w:r>
            <w:r w:rsidR="000C35B7">
              <w:t xml:space="preserve"> </w:t>
            </w:r>
            <w:r w:rsidR="00760229">
              <w:t xml:space="preserve">These are </w:t>
            </w:r>
            <w:r w:rsidR="00B100DE">
              <w:t xml:space="preserve">generally </w:t>
            </w:r>
            <w:r w:rsidR="00760229">
              <w:t>based on the requirements derived from the UK Data Protection Act 2017</w:t>
            </w:r>
            <w:r w:rsidR="009E2E91">
              <w:t>.</w:t>
            </w:r>
          </w:p>
          <w:p w14:paraId="55027BDF" w14:textId="5D69D05B" w:rsidR="009E2E91" w:rsidRPr="000C35B7" w:rsidRDefault="009E2E91" w:rsidP="00A30AF8">
            <w:pPr>
              <w:spacing w:before="60" w:after="60"/>
            </w:pPr>
            <w:r>
              <w:t>Where changes to personal datasets are identified (step 1 above) additional data protection/privacy requirements may be identified to comply with applicable jurisdiction</w:t>
            </w:r>
            <w:r w:rsidR="0074788D">
              <w:t>al requirements</w:t>
            </w:r>
            <w:r w:rsidR="006C0A96">
              <w:t>. Any additional such requirements should be documented.</w:t>
            </w:r>
          </w:p>
        </w:tc>
      </w:tr>
      <w:tr w:rsidR="00DB3AD7" w14:paraId="6C24F0EC" w14:textId="77777777" w:rsidTr="00A30AF8">
        <w:tc>
          <w:tcPr>
            <w:tcW w:w="1949" w:type="dxa"/>
          </w:tcPr>
          <w:p w14:paraId="33B8AE24" w14:textId="053E801B" w:rsidR="00DB3AD7" w:rsidRPr="0074788D" w:rsidRDefault="0074788D" w:rsidP="00A30AF8">
            <w:pPr>
              <w:pStyle w:val="ListParagraph"/>
              <w:numPr>
                <w:ilvl w:val="0"/>
                <w:numId w:val="15"/>
              </w:numPr>
              <w:spacing w:before="60" w:after="60"/>
              <w:ind w:left="447"/>
              <w:rPr>
                <w:b/>
              </w:rPr>
            </w:pPr>
            <w:r>
              <w:rPr>
                <w:b/>
              </w:rPr>
              <w:t>Data Risk Assessment</w:t>
            </w:r>
          </w:p>
        </w:tc>
        <w:tc>
          <w:tcPr>
            <w:tcW w:w="8105" w:type="dxa"/>
          </w:tcPr>
          <w:p w14:paraId="004AAC21" w14:textId="43825EA5" w:rsidR="00B100DE" w:rsidRDefault="00B100DE" w:rsidP="00A30AF8">
            <w:pPr>
              <w:spacing w:before="60" w:after="60"/>
            </w:pPr>
            <w:r>
              <w:t>The Data Protection Officer is responsible for ensuring that data privacy risks are identified, supported by the appropriate Responsible Officer (data owner)</w:t>
            </w:r>
            <w:r w:rsidR="00954511">
              <w:t xml:space="preserve"> and</w:t>
            </w:r>
            <w:r>
              <w:t xml:space="preserve"> appropriate </w:t>
            </w:r>
            <w:r w:rsidR="008D7FB4">
              <w:rPr>
                <w:color w:val="FF0000"/>
              </w:rPr>
              <w:t>&lt;Scout Group&gt;</w:t>
            </w:r>
            <w:r w:rsidR="00954511" w:rsidRPr="00954511">
              <w:rPr>
                <w:color w:val="FF0000"/>
              </w:rPr>
              <w:t xml:space="preserve"> </w:t>
            </w:r>
            <w:r>
              <w:t xml:space="preserve">volunteers </w:t>
            </w:r>
            <w:r w:rsidR="00954511">
              <w:t>and/</w:t>
            </w:r>
            <w:r>
              <w:t xml:space="preserve">or </w:t>
            </w:r>
            <w:r w:rsidR="00954511">
              <w:t>officers</w:t>
            </w:r>
            <w:r>
              <w:t>.</w:t>
            </w:r>
          </w:p>
          <w:p w14:paraId="505CC4BB" w14:textId="67336AC9" w:rsidR="00DB3AD7" w:rsidRDefault="00B100DE" w:rsidP="00A30AF8">
            <w:pPr>
              <w:spacing w:before="60" w:after="60"/>
            </w:pPr>
            <w:r>
              <w:t>B</w:t>
            </w:r>
            <w:r w:rsidR="0074788D">
              <w:t>ased upon the data identified in step 1 above and the requirements</w:t>
            </w:r>
            <w:r w:rsidR="006C0A96">
              <w:t xml:space="preserve"> identified in step 2 above</w:t>
            </w:r>
            <w:r w:rsidR="00FB3C60">
              <w:t>, data privacy risk assessments should be conducted to identify applicable processes and controls.</w:t>
            </w:r>
          </w:p>
          <w:p w14:paraId="4EADFA64" w14:textId="6C4897A4" w:rsidR="0008152C" w:rsidRDefault="008D7FB4" w:rsidP="00A30AF8">
            <w:pPr>
              <w:spacing w:before="60" w:after="60"/>
            </w:pPr>
            <w:r>
              <w:rPr>
                <w:color w:val="FF0000"/>
              </w:rPr>
              <w:t>&lt;Scout Group&gt;</w:t>
            </w:r>
            <w:r w:rsidR="009C7F79">
              <w:t xml:space="preserve"> has determined </w:t>
            </w:r>
            <w:r w:rsidR="0008152C">
              <w:t xml:space="preserve">that a general privacy impact assessment is required. This is documented </w:t>
            </w:r>
            <w:r w:rsidR="008A2FE8">
              <w:t xml:space="preserve">in annex 1 </w:t>
            </w:r>
            <w:r w:rsidR="0008152C">
              <w:t>below</w:t>
            </w:r>
            <w:r w:rsidR="006C051D">
              <w:t xml:space="preserve"> and general processes and controls have been considered to mitigate the risks identified in this generic privacy impact assessment.</w:t>
            </w:r>
            <w:r w:rsidR="004B2B6C">
              <w:t xml:space="preserve"> </w:t>
            </w:r>
          </w:p>
          <w:p w14:paraId="42565973" w14:textId="4661010A" w:rsidR="00D812D6" w:rsidRDefault="00D812D6" w:rsidP="00A30AF8">
            <w:pPr>
              <w:spacing w:before="60" w:after="60"/>
            </w:pPr>
            <w:r>
              <w:t xml:space="preserve">Such processes and controls </w:t>
            </w:r>
            <w:r w:rsidR="00CD17F0">
              <w:t>have been developed in consideration of the general privacy impact assessment</w:t>
            </w:r>
            <w:r>
              <w:t xml:space="preserve"> </w:t>
            </w:r>
            <w:r w:rsidR="00CD17F0">
              <w:t>and implement</w:t>
            </w:r>
            <w:r>
              <w:t xml:space="preserve"> established data protection / privacy good practices</w:t>
            </w:r>
            <w:r w:rsidR="00CD17F0">
              <w:t>. I</w:t>
            </w:r>
            <w:r>
              <w:t xml:space="preserve">t is not </w:t>
            </w:r>
            <w:r w:rsidR="00CD17F0">
              <w:t xml:space="preserve">considered </w:t>
            </w:r>
            <w:r>
              <w:t xml:space="preserve">necessary to document detailed risk assessments where </w:t>
            </w:r>
            <w:r w:rsidR="00E42D76">
              <w:t>such good practices are followed.</w:t>
            </w:r>
          </w:p>
          <w:p w14:paraId="4EFD72AB" w14:textId="0433A5CE" w:rsidR="00E42D76" w:rsidRDefault="00E42D76" w:rsidP="00A30AF8">
            <w:pPr>
              <w:spacing w:before="60" w:after="60"/>
            </w:pPr>
            <w:r>
              <w:t xml:space="preserve">Specific risk assessments </w:t>
            </w:r>
            <w:r w:rsidR="003D09C5">
              <w:t xml:space="preserve">(in the form of </w:t>
            </w:r>
            <w:r w:rsidR="00CD17F0">
              <w:t>data, system or platform specific</w:t>
            </w:r>
            <w:r w:rsidR="003D09C5">
              <w:t xml:space="preserve"> privacy impact assessments</w:t>
            </w:r>
            <w:r w:rsidR="00773646">
              <w:t xml:space="preserve">) </w:t>
            </w:r>
            <w:r>
              <w:t>may be conducted and documented</w:t>
            </w:r>
            <w:r w:rsidR="00773646">
              <w:t xml:space="preserve"> for specific data privacy requirements. See </w:t>
            </w:r>
            <w:r w:rsidR="008E0D9E">
              <w:t>ICO guidance for examples of suitable data privacy impact assessments.</w:t>
            </w:r>
          </w:p>
        </w:tc>
      </w:tr>
      <w:tr w:rsidR="00DB3AD7" w14:paraId="6B54F25A" w14:textId="77777777" w:rsidTr="00A30AF8">
        <w:tc>
          <w:tcPr>
            <w:tcW w:w="1949" w:type="dxa"/>
          </w:tcPr>
          <w:p w14:paraId="603B6FAA" w14:textId="4C103245" w:rsidR="00DB3AD7" w:rsidRPr="003F788A" w:rsidRDefault="003F788A" w:rsidP="00A30AF8">
            <w:pPr>
              <w:pStyle w:val="ListParagraph"/>
              <w:numPr>
                <w:ilvl w:val="0"/>
                <w:numId w:val="15"/>
              </w:numPr>
              <w:spacing w:before="60" w:after="60"/>
              <w:ind w:left="306"/>
              <w:rPr>
                <w:b/>
              </w:rPr>
            </w:pPr>
            <w:r>
              <w:rPr>
                <w:b/>
              </w:rPr>
              <w:t>Establish Process and Controls</w:t>
            </w:r>
          </w:p>
        </w:tc>
        <w:tc>
          <w:tcPr>
            <w:tcW w:w="8105" w:type="dxa"/>
          </w:tcPr>
          <w:p w14:paraId="5CB2E74B" w14:textId="4C70F634" w:rsidR="00760229" w:rsidRDefault="00760229" w:rsidP="00A30AF8">
            <w:pPr>
              <w:spacing w:before="60" w:after="60"/>
            </w:pPr>
            <w:r>
              <w:t xml:space="preserve">General data protection principles and controls are defined in the </w:t>
            </w:r>
            <w:r w:rsidR="008D7FB4">
              <w:rPr>
                <w:color w:val="FF0000"/>
              </w:rPr>
              <w:t>&lt;Scout Group&gt;</w:t>
            </w:r>
            <w:r>
              <w:t xml:space="preserve"> data protection policy. General data privacy process and controls are defined in the following procedures:</w:t>
            </w:r>
          </w:p>
          <w:p w14:paraId="56601D35" w14:textId="77777777" w:rsidR="00760229" w:rsidRDefault="00760229" w:rsidP="00A30AF8">
            <w:pPr>
              <w:pStyle w:val="ListParagraph"/>
              <w:numPr>
                <w:ilvl w:val="0"/>
                <w:numId w:val="12"/>
              </w:numPr>
              <w:spacing w:before="60" w:after="60"/>
            </w:pPr>
            <w:r>
              <w:t>Subject Data Access Request Procedure</w:t>
            </w:r>
          </w:p>
          <w:p w14:paraId="404D68D9" w14:textId="77777777" w:rsidR="00760229" w:rsidRDefault="00760229" w:rsidP="00A30AF8">
            <w:pPr>
              <w:pStyle w:val="ListParagraph"/>
              <w:numPr>
                <w:ilvl w:val="0"/>
                <w:numId w:val="12"/>
              </w:numPr>
              <w:spacing w:before="60" w:after="60"/>
            </w:pPr>
            <w:r>
              <w:t>Subject Data Correction Request Procedure</w:t>
            </w:r>
          </w:p>
          <w:p w14:paraId="74BC2A90" w14:textId="77777777" w:rsidR="00760229" w:rsidRDefault="00760229" w:rsidP="00A30AF8">
            <w:pPr>
              <w:pStyle w:val="ListParagraph"/>
              <w:numPr>
                <w:ilvl w:val="0"/>
                <w:numId w:val="12"/>
              </w:numPr>
              <w:spacing w:before="60" w:after="60"/>
            </w:pPr>
            <w:r>
              <w:t>Subject Data Deletion Request Procedure</w:t>
            </w:r>
          </w:p>
          <w:p w14:paraId="71B9DF6E" w14:textId="77777777" w:rsidR="00760229" w:rsidRDefault="00760229" w:rsidP="00A30AF8">
            <w:pPr>
              <w:pStyle w:val="ListParagraph"/>
              <w:numPr>
                <w:ilvl w:val="0"/>
                <w:numId w:val="12"/>
              </w:numPr>
              <w:spacing w:before="60" w:after="60"/>
            </w:pPr>
            <w:r>
              <w:t>Subject Data Breach Reporting Procedure</w:t>
            </w:r>
          </w:p>
          <w:p w14:paraId="02BD6864" w14:textId="77777777" w:rsidR="00760229" w:rsidRDefault="00760229" w:rsidP="00A30AF8">
            <w:pPr>
              <w:spacing w:before="60" w:after="60"/>
            </w:pPr>
          </w:p>
          <w:p w14:paraId="4513B9F6" w14:textId="77777777" w:rsidR="00920FDD" w:rsidRDefault="00760229" w:rsidP="00A30AF8">
            <w:pPr>
              <w:spacing w:before="60" w:after="60"/>
            </w:pPr>
            <w:r>
              <w:t xml:space="preserve">Where changes to personal datasets are identified (step 1 above), </w:t>
            </w:r>
            <w:r w:rsidR="003F788A">
              <w:t>and</w:t>
            </w:r>
            <w:r w:rsidR="006B1ECE">
              <w:t>/or</w:t>
            </w:r>
            <w:r w:rsidR="003F788A">
              <w:t xml:space="preserve"> where </w:t>
            </w:r>
            <w:r w:rsidR="006B1ECE">
              <w:t xml:space="preserve">specific </w:t>
            </w:r>
            <w:r w:rsidR="003F788A">
              <w:t xml:space="preserve">data </w:t>
            </w:r>
            <w:r w:rsidR="006B1ECE">
              <w:t xml:space="preserve">privacy impact assessments are conducted </w:t>
            </w:r>
            <w:r>
              <w:t>the</w:t>
            </w:r>
            <w:r w:rsidR="006B1ECE">
              <w:t xml:space="preserve"> </w:t>
            </w:r>
            <w:r>
              <w:t xml:space="preserve">applicability of these </w:t>
            </w:r>
            <w:r w:rsidR="006B1ECE">
              <w:t xml:space="preserve">general </w:t>
            </w:r>
            <w:r>
              <w:lastRenderedPageBreak/>
              <w:t xml:space="preserve">requirements, processes and controls </w:t>
            </w:r>
            <w:r w:rsidR="006B1ECE">
              <w:t xml:space="preserve">should be reviewed </w:t>
            </w:r>
            <w:r>
              <w:t>to ensure that they are fully applicable</w:t>
            </w:r>
            <w:r w:rsidR="00920FDD">
              <w:t>.</w:t>
            </w:r>
          </w:p>
          <w:p w14:paraId="375A6752" w14:textId="4D00E63B" w:rsidR="00760229" w:rsidRDefault="00760229" w:rsidP="00A30AF8">
            <w:pPr>
              <w:spacing w:before="60" w:after="60"/>
            </w:pPr>
            <w:r>
              <w:t xml:space="preserve">Where existing requirements, processes and controls are considered </w:t>
            </w:r>
            <w:r w:rsidR="00920FDD">
              <w:t>in</w:t>
            </w:r>
            <w:r>
              <w:t xml:space="preserve">sufficient </w:t>
            </w:r>
            <w:r w:rsidR="00920FDD">
              <w:t>to assure data protection/privacy one</w:t>
            </w:r>
            <w:r>
              <w:t xml:space="preserve"> of the following must occur:</w:t>
            </w:r>
          </w:p>
          <w:p w14:paraId="60DB64C0" w14:textId="77777777" w:rsidR="00920FDD" w:rsidRDefault="00760229" w:rsidP="00A30AF8">
            <w:pPr>
              <w:pStyle w:val="ListParagraph"/>
              <w:numPr>
                <w:ilvl w:val="0"/>
                <w:numId w:val="17"/>
              </w:numPr>
              <w:spacing w:before="60" w:after="60"/>
            </w:pPr>
            <w:r>
              <w:t>Update</w:t>
            </w:r>
            <w:r w:rsidR="00920FDD">
              <w:t xml:space="preserve"> </w:t>
            </w:r>
            <w:r>
              <w:t>processes and controls</w:t>
            </w:r>
            <w:r w:rsidR="00920FDD">
              <w:t xml:space="preserve"> to include new requirements and mitigate risks</w:t>
            </w:r>
          </w:p>
          <w:p w14:paraId="6337B62E" w14:textId="5AF89CA8" w:rsidR="00DB3AD7" w:rsidRDefault="00760229" w:rsidP="00A30AF8">
            <w:pPr>
              <w:pStyle w:val="ListParagraph"/>
              <w:numPr>
                <w:ilvl w:val="0"/>
                <w:numId w:val="17"/>
              </w:numPr>
              <w:spacing w:before="60" w:after="60"/>
            </w:pPr>
            <w:r>
              <w:t xml:space="preserve">Implement specific </w:t>
            </w:r>
            <w:r w:rsidR="00CD17F0">
              <w:t>(additional or alte</w:t>
            </w:r>
            <w:r w:rsidR="00434B7D">
              <w:t>rn</w:t>
            </w:r>
            <w:r w:rsidR="00CD17F0">
              <w:t xml:space="preserve">ative) </w:t>
            </w:r>
            <w:r>
              <w:t>processes and controls to meet specific requirements</w:t>
            </w:r>
            <w:r w:rsidR="00920FDD">
              <w:t xml:space="preserve"> and mitigate specific risks</w:t>
            </w:r>
          </w:p>
        </w:tc>
      </w:tr>
      <w:tr w:rsidR="00DB3AD7" w14:paraId="5F1CBD3A" w14:textId="77777777" w:rsidTr="00A30AF8">
        <w:tc>
          <w:tcPr>
            <w:tcW w:w="1949" w:type="dxa"/>
          </w:tcPr>
          <w:p w14:paraId="34E25943" w14:textId="00BED6BA" w:rsidR="00DB3AD7" w:rsidRPr="00920FDD" w:rsidRDefault="00920FDD" w:rsidP="00A30AF8">
            <w:pPr>
              <w:pStyle w:val="ListParagraph"/>
              <w:numPr>
                <w:ilvl w:val="0"/>
                <w:numId w:val="15"/>
              </w:numPr>
              <w:spacing w:before="60" w:after="60"/>
              <w:ind w:left="447"/>
              <w:rPr>
                <w:b/>
              </w:rPr>
            </w:pPr>
            <w:r>
              <w:rPr>
                <w:b/>
              </w:rPr>
              <w:lastRenderedPageBreak/>
              <w:t>Manage / Process Data</w:t>
            </w:r>
          </w:p>
        </w:tc>
        <w:tc>
          <w:tcPr>
            <w:tcW w:w="8105" w:type="dxa"/>
          </w:tcPr>
          <w:p w14:paraId="60A00676" w14:textId="757DBB0B" w:rsidR="00DB3AD7" w:rsidRDefault="00920FDD" w:rsidP="00A30AF8">
            <w:pPr>
              <w:spacing w:before="60" w:after="60"/>
            </w:pPr>
            <w:r>
              <w:t xml:space="preserve">Data processing will take place following defined </w:t>
            </w:r>
            <w:r w:rsidR="005F03A2">
              <w:t xml:space="preserve">processes and established practices and in accordance with the data protection measures defined in the </w:t>
            </w:r>
            <w:r w:rsidR="008D7FB4">
              <w:rPr>
                <w:color w:val="FF0000"/>
              </w:rPr>
              <w:t>&lt;Scout Group&gt;</w:t>
            </w:r>
            <w:r w:rsidR="005F03A2">
              <w:t xml:space="preserve"> data protection policy.</w:t>
            </w:r>
          </w:p>
          <w:p w14:paraId="02F17547" w14:textId="77777777" w:rsidR="005F03A2" w:rsidRDefault="005F03A2" w:rsidP="00A30AF8">
            <w:pPr>
              <w:spacing w:before="60" w:after="60"/>
            </w:pPr>
            <w:r>
              <w:t>Any specific data privacy management actions will be conducted in accordance with the following procedures:</w:t>
            </w:r>
          </w:p>
          <w:p w14:paraId="09EF73B0" w14:textId="77777777" w:rsidR="005F03A2" w:rsidRDefault="005F03A2" w:rsidP="00A30AF8">
            <w:pPr>
              <w:pStyle w:val="ListParagraph"/>
              <w:numPr>
                <w:ilvl w:val="0"/>
                <w:numId w:val="12"/>
              </w:numPr>
              <w:spacing w:before="60" w:after="60"/>
            </w:pPr>
            <w:r>
              <w:t>Subject Data Access Request Procedure</w:t>
            </w:r>
          </w:p>
          <w:p w14:paraId="4235CF2D" w14:textId="77777777" w:rsidR="005F03A2" w:rsidRDefault="005F03A2" w:rsidP="00A30AF8">
            <w:pPr>
              <w:pStyle w:val="ListParagraph"/>
              <w:numPr>
                <w:ilvl w:val="0"/>
                <w:numId w:val="12"/>
              </w:numPr>
              <w:spacing w:before="60" w:after="60"/>
            </w:pPr>
            <w:r>
              <w:t>Subject Data Correction Request Procedure</w:t>
            </w:r>
          </w:p>
          <w:p w14:paraId="2559B995" w14:textId="77777777" w:rsidR="005F03A2" w:rsidRDefault="005F03A2" w:rsidP="00A30AF8">
            <w:pPr>
              <w:pStyle w:val="ListParagraph"/>
              <w:numPr>
                <w:ilvl w:val="0"/>
                <w:numId w:val="12"/>
              </w:numPr>
              <w:spacing w:before="60" w:after="60"/>
            </w:pPr>
            <w:r>
              <w:t>Subject Data Deletion Request Procedure</w:t>
            </w:r>
          </w:p>
          <w:p w14:paraId="7E31407F" w14:textId="77777777" w:rsidR="005F03A2" w:rsidRDefault="005F03A2" w:rsidP="00A30AF8">
            <w:pPr>
              <w:pStyle w:val="ListParagraph"/>
              <w:numPr>
                <w:ilvl w:val="0"/>
                <w:numId w:val="12"/>
              </w:numPr>
              <w:spacing w:before="60" w:after="60"/>
            </w:pPr>
            <w:r>
              <w:t>Subject Data Breach Reporting Procedure</w:t>
            </w:r>
          </w:p>
          <w:p w14:paraId="4779919D" w14:textId="77777777" w:rsidR="005F03A2" w:rsidRDefault="005F03A2" w:rsidP="00A30AF8">
            <w:pPr>
              <w:spacing w:before="60" w:after="60"/>
            </w:pPr>
          </w:p>
          <w:p w14:paraId="0B7E5C65" w14:textId="77777777" w:rsidR="00E575CC" w:rsidRDefault="00E575CC" w:rsidP="00A30AF8">
            <w:pPr>
              <w:spacing w:before="60" w:after="60"/>
            </w:pPr>
            <w:r>
              <w:t>In addition, the following rights must be respected:</w:t>
            </w:r>
          </w:p>
          <w:p w14:paraId="099D82BA" w14:textId="77777777" w:rsidR="00E575CC" w:rsidRDefault="00E575CC" w:rsidP="00A30AF8">
            <w:pPr>
              <w:spacing w:before="60" w:after="60"/>
            </w:pPr>
          </w:p>
          <w:p w14:paraId="2A2B57A8" w14:textId="77777777" w:rsidR="00E419C4" w:rsidRPr="00E575CC" w:rsidRDefault="00E419C4" w:rsidP="00E419C4">
            <w:pPr>
              <w:spacing w:before="60" w:after="60"/>
              <w:rPr>
                <w:b/>
              </w:rPr>
            </w:pPr>
            <w:r w:rsidRPr="00E575CC">
              <w:rPr>
                <w:b/>
              </w:rPr>
              <w:t xml:space="preserve">Right to </w:t>
            </w:r>
            <w:r>
              <w:rPr>
                <w:b/>
              </w:rPr>
              <w:t>Object</w:t>
            </w:r>
          </w:p>
          <w:p w14:paraId="5BCE889E" w14:textId="37E73164" w:rsidR="00E419C4" w:rsidRDefault="00E419C4" w:rsidP="00E419C4">
            <w:pPr>
              <w:spacing w:before="60" w:after="60"/>
            </w:pPr>
            <w:r>
              <w:t>Individuals should be informed of their right to object to data processing at the first point of communication i.e. the first email they receive, available on their first visit to a website etc. Individuals may object to:</w:t>
            </w:r>
          </w:p>
          <w:p w14:paraId="1D5C0545" w14:textId="77777777" w:rsidR="00E419C4" w:rsidRDefault="00E419C4" w:rsidP="00E419C4">
            <w:pPr>
              <w:pStyle w:val="ListParagraph"/>
              <w:numPr>
                <w:ilvl w:val="0"/>
                <w:numId w:val="23"/>
              </w:numPr>
              <w:spacing w:before="60" w:after="60"/>
            </w:pPr>
            <w:r>
              <w:t>Processing based on legitimate interests or the performance of a task in the public interest/exercise of official authority (including profiling);</w:t>
            </w:r>
          </w:p>
          <w:p w14:paraId="6E42E2CF" w14:textId="77777777" w:rsidR="00E419C4" w:rsidRDefault="00E419C4" w:rsidP="00E419C4">
            <w:pPr>
              <w:pStyle w:val="ListParagraph"/>
              <w:numPr>
                <w:ilvl w:val="0"/>
                <w:numId w:val="23"/>
              </w:numPr>
              <w:spacing w:before="60" w:after="60"/>
            </w:pPr>
            <w:r>
              <w:t>Direct marketing (including profiling) e.g. Moor House Adventure Centre mailings</w:t>
            </w:r>
          </w:p>
          <w:p w14:paraId="170408A0" w14:textId="77777777" w:rsidR="00E419C4" w:rsidRDefault="00E419C4" w:rsidP="00E419C4">
            <w:pPr>
              <w:pStyle w:val="ListParagraph"/>
              <w:numPr>
                <w:ilvl w:val="0"/>
                <w:numId w:val="23"/>
              </w:numPr>
              <w:spacing w:before="60" w:after="60"/>
            </w:pPr>
            <w:r>
              <w:t>Processing for purposes of scientific/historical research and statistics.</w:t>
            </w:r>
          </w:p>
          <w:p w14:paraId="10CBAB7C" w14:textId="77777777" w:rsidR="00E419C4" w:rsidRDefault="00E419C4" w:rsidP="00E419C4">
            <w:pPr>
              <w:spacing w:before="60" w:after="60"/>
            </w:pPr>
          </w:p>
          <w:p w14:paraId="707E60DA" w14:textId="32D78274" w:rsidR="00E419C4" w:rsidRDefault="00E419C4" w:rsidP="00E419C4">
            <w:pPr>
              <w:spacing w:before="60" w:after="60"/>
            </w:pPr>
            <w:r>
              <w:t xml:space="preserve">In these cases, processing must cease unless the </w:t>
            </w:r>
            <w:r w:rsidR="008D7FB4">
              <w:rPr>
                <w:color w:val="FF0000"/>
              </w:rPr>
              <w:t>&lt;Scout Group&gt;</w:t>
            </w:r>
            <w:r>
              <w:t xml:space="preserve"> can demonstrate</w:t>
            </w:r>
          </w:p>
          <w:p w14:paraId="3B567CDD" w14:textId="77777777" w:rsidR="00E419C4" w:rsidRDefault="00E419C4" w:rsidP="00E419C4">
            <w:pPr>
              <w:pStyle w:val="ListParagraph"/>
              <w:numPr>
                <w:ilvl w:val="0"/>
                <w:numId w:val="24"/>
              </w:numPr>
              <w:spacing w:before="60" w:after="60"/>
            </w:pPr>
            <w:r>
              <w:t>Compelling legitimate grounds for the processing, which override the interests, rights and freedoms of the individual (e.g. safeguarding of young people or compliance of other regulatory requirements)</w:t>
            </w:r>
          </w:p>
          <w:p w14:paraId="0000F2E5" w14:textId="77777777" w:rsidR="00E419C4" w:rsidRDefault="00E419C4" w:rsidP="00E419C4">
            <w:pPr>
              <w:pStyle w:val="ListParagraph"/>
              <w:numPr>
                <w:ilvl w:val="0"/>
                <w:numId w:val="24"/>
              </w:numPr>
              <w:spacing w:before="60" w:after="60"/>
            </w:pPr>
            <w:r>
              <w:t>the processing is for the establishment, exercise or defence of legal claims</w:t>
            </w:r>
          </w:p>
          <w:p w14:paraId="3F72EF0B" w14:textId="77777777" w:rsidR="00E419C4" w:rsidRDefault="00E419C4" w:rsidP="00E419C4">
            <w:pPr>
              <w:spacing w:before="60" w:after="60"/>
            </w:pPr>
          </w:p>
          <w:p w14:paraId="37CC041F" w14:textId="77777777" w:rsidR="00E419C4" w:rsidRDefault="00E419C4" w:rsidP="00E419C4">
            <w:pPr>
              <w:spacing w:before="60" w:after="60"/>
            </w:pPr>
            <w:r>
              <w:t>Objections to direct marketing must be acted upon immediately</w:t>
            </w:r>
          </w:p>
          <w:p w14:paraId="74493407" w14:textId="77777777" w:rsidR="00E419C4" w:rsidRDefault="00E419C4" w:rsidP="00E419C4">
            <w:pPr>
              <w:spacing w:before="60" w:after="60"/>
              <w:rPr>
                <w:b/>
              </w:rPr>
            </w:pPr>
          </w:p>
          <w:p w14:paraId="304E9ABF" w14:textId="28C6F8F2" w:rsidR="00E575CC" w:rsidRPr="00E575CC" w:rsidRDefault="00E575CC" w:rsidP="00E419C4">
            <w:pPr>
              <w:spacing w:before="60" w:after="60"/>
              <w:rPr>
                <w:b/>
              </w:rPr>
            </w:pPr>
            <w:r w:rsidRPr="00E575CC">
              <w:rPr>
                <w:b/>
              </w:rPr>
              <w:t>Right to Restrict Processing</w:t>
            </w:r>
          </w:p>
          <w:p w14:paraId="7827340C" w14:textId="3C1759E2" w:rsidR="00E575CC" w:rsidRDefault="00E575CC" w:rsidP="00A30AF8">
            <w:pPr>
              <w:spacing w:before="60" w:after="60"/>
            </w:pPr>
            <w:r>
              <w:t xml:space="preserve">Process should be </w:t>
            </w:r>
            <w:r w:rsidR="00B400F8">
              <w:t xml:space="preserve">halted when a data subject as a legitimate right to block processing. </w:t>
            </w:r>
            <w:r w:rsidR="006F791D">
              <w:t>During this ‘block’, data may be stored b</w:t>
            </w:r>
            <w:r w:rsidR="00810C2A">
              <w:t xml:space="preserve">ut </w:t>
            </w:r>
            <w:r w:rsidR="006F791D">
              <w:t>not processed. Sufficient data should be retained to identify the block. This is applicable when:</w:t>
            </w:r>
          </w:p>
          <w:p w14:paraId="4DDB405F" w14:textId="0FACD52C" w:rsidR="00875862" w:rsidRDefault="00810C2A" w:rsidP="00875862">
            <w:pPr>
              <w:pStyle w:val="ListParagraph"/>
              <w:numPr>
                <w:ilvl w:val="0"/>
                <w:numId w:val="21"/>
              </w:numPr>
              <w:spacing w:before="60" w:after="60"/>
            </w:pPr>
            <w:r>
              <w:t>A</w:t>
            </w:r>
            <w:r w:rsidR="00875862">
              <w:t>n individual contests the accuracy of the personal data, processing should be restricted until we have verified the accuracy of the personal data.</w:t>
            </w:r>
          </w:p>
          <w:p w14:paraId="6F414B1C" w14:textId="724D9BD3" w:rsidR="00875862" w:rsidRDefault="00810C2A" w:rsidP="00875862">
            <w:pPr>
              <w:pStyle w:val="ListParagraph"/>
              <w:numPr>
                <w:ilvl w:val="0"/>
                <w:numId w:val="21"/>
              </w:numPr>
              <w:spacing w:before="60" w:after="60"/>
            </w:pPr>
            <w:r>
              <w:t>A</w:t>
            </w:r>
            <w:r w:rsidR="00875862">
              <w:t xml:space="preserve">n individual has objected to the processing (where it was necessary for the performance of a public interest task or purpose of legitimate interests), and </w:t>
            </w:r>
            <w:r w:rsidR="00AC6BDE">
              <w:t>we</w:t>
            </w:r>
            <w:r w:rsidR="00875862">
              <w:t xml:space="preserve"> are considering whether </w:t>
            </w:r>
            <w:r w:rsidR="008D7FB4">
              <w:rPr>
                <w:color w:val="FF0000"/>
              </w:rPr>
              <w:t>&lt;Scout Group&gt;</w:t>
            </w:r>
            <w:r w:rsidR="00226C43">
              <w:t>’s</w:t>
            </w:r>
            <w:r w:rsidR="00875862">
              <w:t xml:space="preserve"> legitimate grounds override those of the individual.</w:t>
            </w:r>
          </w:p>
          <w:p w14:paraId="36EB5FC4" w14:textId="77777777" w:rsidR="00875862" w:rsidRDefault="00875862" w:rsidP="00875862">
            <w:pPr>
              <w:pStyle w:val="ListParagraph"/>
              <w:numPr>
                <w:ilvl w:val="0"/>
                <w:numId w:val="21"/>
              </w:numPr>
              <w:spacing w:before="60" w:after="60"/>
            </w:pPr>
            <w:r>
              <w:lastRenderedPageBreak/>
              <w:t xml:space="preserve">When processing is </w:t>
            </w:r>
            <w:proofErr w:type="gramStart"/>
            <w:r>
              <w:t>unlawful</w:t>
            </w:r>
            <w:proofErr w:type="gramEnd"/>
            <w:r>
              <w:t xml:space="preserve"> and the individual opposes erasure and requests restriction instead.</w:t>
            </w:r>
          </w:p>
          <w:p w14:paraId="41C71B00" w14:textId="46661CA3" w:rsidR="006F791D" w:rsidRDefault="00875862" w:rsidP="00875862">
            <w:pPr>
              <w:pStyle w:val="ListParagraph"/>
              <w:numPr>
                <w:ilvl w:val="0"/>
                <w:numId w:val="21"/>
              </w:numPr>
              <w:spacing w:before="60" w:after="60"/>
            </w:pPr>
            <w:r>
              <w:t xml:space="preserve">If </w:t>
            </w:r>
            <w:r w:rsidR="00AC6BDE">
              <w:t xml:space="preserve">the </w:t>
            </w:r>
            <w:r w:rsidR="008D7FB4">
              <w:rPr>
                <w:color w:val="FF0000"/>
              </w:rPr>
              <w:t>&lt;Scout Group&gt;</w:t>
            </w:r>
            <w:r w:rsidR="00AC6BDE">
              <w:t xml:space="preserve"> no</w:t>
            </w:r>
            <w:r>
              <w:t xml:space="preserve"> longer need the personal data but the individual requires the data to establish, exercise or defend a legal claim.</w:t>
            </w:r>
          </w:p>
          <w:p w14:paraId="378307F7" w14:textId="77777777" w:rsidR="00E575CC" w:rsidRDefault="00E575CC" w:rsidP="00A30AF8">
            <w:pPr>
              <w:spacing w:before="60" w:after="60"/>
            </w:pPr>
          </w:p>
          <w:p w14:paraId="6F166F54" w14:textId="77777777" w:rsidR="00AC6BDE" w:rsidRDefault="00AC6BDE" w:rsidP="00A30AF8">
            <w:pPr>
              <w:spacing w:before="60" w:after="60"/>
            </w:pPr>
          </w:p>
          <w:p w14:paraId="4AB9D7E2" w14:textId="6E6B66BF" w:rsidR="00AC6BDE" w:rsidRPr="00E575CC" w:rsidRDefault="00AC6BDE" w:rsidP="00AC6BDE">
            <w:pPr>
              <w:spacing w:before="60" w:after="60"/>
              <w:rPr>
                <w:b/>
              </w:rPr>
            </w:pPr>
            <w:r w:rsidRPr="00E575CC">
              <w:rPr>
                <w:b/>
              </w:rPr>
              <w:t xml:space="preserve">Right to </w:t>
            </w:r>
            <w:r>
              <w:rPr>
                <w:b/>
              </w:rPr>
              <w:t>Data Portability</w:t>
            </w:r>
          </w:p>
          <w:p w14:paraId="69CFEC01" w14:textId="5062E71C" w:rsidR="00836179" w:rsidRDefault="00836179" w:rsidP="00836179">
            <w:pPr>
              <w:spacing w:before="60" w:after="60"/>
            </w:pPr>
            <w:r>
              <w:t xml:space="preserve">Data subjects may request a copy of their personal data portability </w:t>
            </w:r>
            <w:r w:rsidR="00282AC2">
              <w:t>when</w:t>
            </w:r>
            <w:r>
              <w:t>:</w:t>
            </w:r>
          </w:p>
          <w:p w14:paraId="07695BA2" w14:textId="0D211014" w:rsidR="00836179" w:rsidRDefault="00282AC2" w:rsidP="00282AC2">
            <w:pPr>
              <w:pStyle w:val="ListParagraph"/>
              <w:numPr>
                <w:ilvl w:val="0"/>
                <w:numId w:val="22"/>
              </w:numPr>
              <w:spacing w:before="60" w:after="60"/>
            </w:pPr>
            <w:r>
              <w:t xml:space="preserve">They have </w:t>
            </w:r>
            <w:r w:rsidR="00836179">
              <w:t xml:space="preserve">provided to </w:t>
            </w:r>
            <w:r>
              <w:t xml:space="preserve">their personal data to the </w:t>
            </w:r>
            <w:r w:rsidR="008D7FB4">
              <w:rPr>
                <w:color w:val="FF0000"/>
              </w:rPr>
              <w:t>&lt;Scout Group&gt;</w:t>
            </w:r>
            <w:r w:rsidR="00836179">
              <w:t>;</w:t>
            </w:r>
          </w:p>
          <w:p w14:paraId="6FED12C4" w14:textId="3BE1D813" w:rsidR="00836179" w:rsidRDefault="00282AC2" w:rsidP="00282AC2">
            <w:pPr>
              <w:pStyle w:val="ListParagraph"/>
              <w:numPr>
                <w:ilvl w:val="0"/>
                <w:numId w:val="22"/>
              </w:numPr>
              <w:spacing w:before="60" w:after="60"/>
            </w:pPr>
            <w:r>
              <w:t>T</w:t>
            </w:r>
            <w:r w:rsidR="00836179">
              <w:t xml:space="preserve">he processing is based on the individual’s consent </w:t>
            </w:r>
            <w:r>
              <w:t>(</w:t>
            </w:r>
            <w:r w:rsidR="00836179">
              <w:t>or for the performance of a contract</w:t>
            </w:r>
            <w:r>
              <w:t>)</w:t>
            </w:r>
            <w:r w:rsidR="00836179">
              <w:t>; and</w:t>
            </w:r>
          </w:p>
          <w:p w14:paraId="1AAF11FF" w14:textId="77777777" w:rsidR="00AC6BDE" w:rsidRDefault="00836179" w:rsidP="00282AC2">
            <w:pPr>
              <w:pStyle w:val="ListParagraph"/>
              <w:numPr>
                <w:ilvl w:val="0"/>
                <w:numId w:val="22"/>
              </w:numPr>
              <w:spacing w:before="60" w:after="60"/>
            </w:pPr>
            <w:r>
              <w:t>when processing is carried out by automated means.</w:t>
            </w:r>
          </w:p>
          <w:p w14:paraId="330B9F96" w14:textId="77777777" w:rsidR="00282AC2" w:rsidRDefault="00282AC2" w:rsidP="00282AC2">
            <w:pPr>
              <w:spacing w:before="60" w:after="60"/>
            </w:pPr>
          </w:p>
          <w:p w14:paraId="6A872ED6" w14:textId="54E6C209" w:rsidR="00110947" w:rsidRDefault="00282AC2" w:rsidP="00110947">
            <w:pPr>
              <w:spacing w:before="60" w:after="60"/>
            </w:pPr>
            <w:r>
              <w:t xml:space="preserve">Data should then be provided to the data subject </w:t>
            </w:r>
            <w:r w:rsidR="003A45CA">
              <w:t xml:space="preserve">(or transmitted to another data controller) </w:t>
            </w:r>
            <w:r>
              <w:t>in an open format e.g. .csv</w:t>
            </w:r>
            <w:r w:rsidR="003A45CA">
              <w:t xml:space="preserve"> file, .txt file etc</w:t>
            </w:r>
            <w:r w:rsidR="008153E9">
              <w:t>, without undue delay and within one month</w:t>
            </w:r>
            <w:r w:rsidR="00E25173">
              <w:t>, unless the data is considered complex (see Annex 2)</w:t>
            </w:r>
          </w:p>
        </w:tc>
      </w:tr>
      <w:tr w:rsidR="00DB3AD7" w14:paraId="7AC7667A" w14:textId="77777777" w:rsidTr="00A30AF8">
        <w:tc>
          <w:tcPr>
            <w:tcW w:w="1949" w:type="dxa"/>
          </w:tcPr>
          <w:p w14:paraId="6C945314" w14:textId="22D6E88A" w:rsidR="00DB3AD7" w:rsidRPr="005F03A2" w:rsidRDefault="005F03A2" w:rsidP="00A30AF8">
            <w:pPr>
              <w:pStyle w:val="ListParagraph"/>
              <w:numPr>
                <w:ilvl w:val="0"/>
                <w:numId w:val="15"/>
              </w:numPr>
              <w:spacing w:before="60" w:after="60"/>
              <w:ind w:left="447"/>
              <w:rPr>
                <w:b/>
              </w:rPr>
            </w:pPr>
            <w:r>
              <w:rPr>
                <w:b/>
              </w:rPr>
              <w:lastRenderedPageBreak/>
              <w:t xml:space="preserve">Retain </w:t>
            </w:r>
            <w:r w:rsidR="000F7200">
              <w:rPr>
                <w:b/>
              </w:rPr>
              <w:t>/ Archive / Delete Data</w:t>
            </w:r>
          </w:p>
        </w:tc>
        <w:tc>
          <w:tcPr>
            <w:tcW w:w="8105" w:type="dxa"/>
          </w:tcPr>
          <w:p w14:paraId="4A81A6A4" w14:textId="2F3286E5" w:rsidR="000F7200" w:rsidRDefault="000F7200" w:rsidP="00A30AF8">
            <w:pPr>
              <w:spacing w:before="60" w:after="60"/>
            </w:pPr>
            <w:r>
              <w:t>Following the ending of active processing a decision will be made to either retain, archive or delete data as follows:</w:t>
            </w:r>
          </w:p>
          <w:p w14:paraId="06D4F7D3" w14:textId="77777777" w:rsidR="00DB3AD7" w:rsidRDefault="000F7200" w:rsidP="00A30AF8">
            <w:pPr>
              <w:pStyle w:val="ListParagraph"/>
              <w:numPr>
                <w:ilvl w:val="0"/>
                <w:numId w:val="18"/>
              </w:numPr>
              <w:spacing w:before="60" w:after="60"/>
            </w:pPr>
            <w:r>
              <w:t xml:space="preserve">Retain data: For cases where data is no longer being actively </w:t>
            </w:r>
            <w:r w:rsidR="00727938">
              <w:t xml:space="preserve">updated, changed or added to, but which still needs to be referred to on a regular basis. </w:t>
            </w:r>
            <w:r w:rsidR="008121F3">
              <w:t>Where this is the case, access controls and permissions should be updated to make data ‘read only’ where possible</w:t>
            </w:r>
          </w:p>
          <w:p w14:paraId="3A4975E4" w14:textId="77777777" w:rsidR="008121F3" w:rsidRDefault="008121F3" w:rsidP="00A30AF8">
            <w:pPr>
              <w:pStyle w:val="ListParagraph"/>
              <w:numPr>
                <w:ilvl w:val="0"/>
                <w:numId w:val="18"/>
              </w:numPr>
              <w:spacing w:before="60" w:after="60"/>
            </w:pPr>
            <w:r>
              <w:t>Archive data: For cases where data is no longer being actively updated, changed or added to, and which does not need to be referred to on a regular basis (i.e. may be retained for sta</w:t>
            </w:r>
            <w:r w:rsidR="006053A1">
              <w:t>tutory purposes, risk mitigation purposes etc)</w:t>
            </w:r>
            <w:r>
              <w:t>. Where this is the case, access controls and permissions should be updated to make data ‘read only’ where possible</w:t>
            </w:r>
            <w:r w:rsidR="006053A1">
              <w:t xml:space="preserve"> and the data should be moved to a suitable secure hard copy of electronic archive</w:t>
            </w:r>
          </w:p>
          <w:p w14:paraId="66D19A0C" w14:textId="77777777" w:rsidR="006053A1" w:rsidRDefault="006053A1" w:rsidP="00A30AF8">
            <w:pPr>
              <w:pStyle w:val="ListParagraph"/>
              <w:numPr>
                <w:ilvl w:val="0"/>
                <w:numId w:val="18"/>
              </w:numPr>
              <w:spacing w:before="60" w:after="60"/>
            </w:pPr>
            <w:r>
              <w:t>Delete data: For cases where data no longer needs to be retained</w:t>
            </w:r>
          </w:p>
          <w:p w14:paraId="6A86BB6C" w14:textId="77777777" w:rsidR="006053A1" w:rsidRDefault="006053A1" w:rsidP="00A30AF8">
            <w:pPr>
              <w:spacing w:before="60" w:after="60"/>
            </w:pPr>
          </w:p>
          <w:p w14:paraId="11440D85" w14:textId="6F757D82" w:rsidR="006053A1" w:rsidRPr="006053A1" w:rsidRDefault="006053A1" w:rsidP="00A30AF8">
            <w:pPr>
              <w:spacing w:before="60" w:after="60"/>
              <w:rPr>
                <w:b/>
              </w:rPr>
            </w:pPr>
            <w:r>
              <w:t xml:space="preserve">When considering the above it should </w:t>
            </w:r>
            <w:proofErr w:type="gramStart"/>
            <w:r>
              <w:t>recognised</w:t>
            </w:r>
            <w:proofErr w:type="gramEnd"/>
            <w:r>
              <w:t xml:space="preserve"> that data may progress through a natural life cycle (active processing </w:t>
            </w:r>
            <w:r>
              <w:sym w:font="Wingdings" w:char="F0E8"/>
            </w:r>
            <w:r>
              <w:t xml:space="preserve"> retained </w:t>
            </w:r>
            <w:r>
              <w:sym w:font="Wingdings" w:char="F0E8"/>
            </w:r>
            <w:r>
              <w:t xml:space="preserve"> archived </w:t>
            </w:r>
            <w:r>
              <w:sym w:font="Wingdings" w:char="F0E8"/>
            </w:r>
            <w:r>
              <w:t xml:space="preserve"> deleted), possibly bypassing these steps. </w:t>
            </w:r>
            <w:r w:rsidR="00A30AF8">
              <w:t xml:space="preserve">Data should not be retained beyond the retention period defined in the </w:t>
            </w:r>
            <w:r w:rsidR="008D7FB4">
              <w:rPr>
                <w:color w:val="FF0000"/>
              </w:rPr>
              <w:t>&lt;Scout Group&gt;</w:t>
            </w:r>
            <w:r w:rsidR="00A30AF8">
              <w:t xml:space="preserve"> data retention policy</w:t>
            </w:r>
          </w:p>
        </w:tc>
      </w:tr>
    </w:tbl>
    <w:p w14:paraId="1C1D3237" w14:textId="4F822B2F" w:rsidR="006C051D" w:rsidRDefault="006C051D" w:rsidP="00892D9B">
      <w:pPr>
        <w:rPr>
          <w:b/>
          <w:sz w:val="28"/>
        </w:rPr>
      </w:pPr>
    </w:p>
    <w:p w14:paraId="4FBF7C6B" w14:textId="77777777" w:rsidR="006C051D" w:rsidRDefault="006C051D">
      <w:pPr>
        <w:rPr>
          <w:b/>
          <w:sz w:val="28"/>
        </w:rPr>
      </w:pPr>
      <w:r>
        <w:rPr>
          <w:b/>
          <w:sz w:val="28"/>
        </w:rPr>
        <w:br w:type="page"/>
      </w:r>
    </w:p>
    <w:p w14:paraId="3E51499F" w14:textId="15C2F452" w:rsidR="00B97A39" w:rsidRDefault="006C051D" w:rsidP="00892D9B">
      <w:pPr>
        <w:rPr>
          <w:b/>
          <w:sz w:val="28"/>
        </w:rPr>
      </w:pPr>
      <w:r>
        <w:rPr>
          <w:b/>
          <w:sz w:val="28"/>
        </w:rPr>
        <w:lastRenderedPageBreak/>
        <w:t>Annex 1 – General Data Privacy Impact Assessment</w:t>
      </w:r>
    </w:p>
    <w:p w14:paraId="732397F9" w14:textId="538FB78E" w:rsidR="006C051D" w:rsidRDefault="008D7FB4" w:rsidP="006C051D">
      <w:r>
        <w:rPr>
          <w:color w:val="FF0000"/>
        </w:rPr>
        <w:t>&lt;Scout Group&gt;</w:t>
      </w:r>
      <w:r w:rsidR="006C051D">
        <w:t xml:space="preserve"> has determined the need for a </w:t>
      </w:r>
      <w:r w:rsidR="006C051D" w:rsidRPr="006C051D">
        <w:t>Data Privacy Impact Assessment</w:t>
      </w:r>
      <w:r w:rsidR="006C051D">
        <w:t xml:space="preserve"> (PIA)</w:t>
      </w:r>
      <w:r w:rsidR="00225EDD">
        <w:t>. This is because</w:t>
      </w:r>
      <w:r w:rsidR="00CA1B63">
        <w:t xml:space="preserve"> </w:t>
      </w:r>
      <w:r>
        <w:rPr>
          <w:color w:val="FF0000"/>
        </w:rPr>
        <w:t>&lt;Scout Group&gt;</w:t>
      </w:r>
      <w:r w:rsidR="00225EDD">
        <w:t>:</w:t>
      </w:r>
    </w:p>
    <w:p w14:paraId="2C9925C6" w14:textId="533A0B44" w:rsidR="00CA1B63" w:rsidRDefault="00CA1B63" w:rsidP="00CA1B63">
      <w:pPr>
        <w:pStyle w:val="ListParagraph"/>
        <w:numPr>
          <w:ilvl w:val="0"/>
          <w:numId w:val="19"/>
        </w:numPr>
      </w:pPr>
      <w:r>
        <w:t>Collects new information about individuals</w:t>
      </w:r>
      <w:r w:rsidR="00451F96">
        <w:t>, including data of a kind particularly likely to raise privacy concerns or expectations e.g. health records, criminal record checks or other information that people would consider to be private.</w:t>
      </w:r>
    </w:p>
    <w:p w14:paraId="75B39A39" w14:textId="6ADE4BDD" w:rsidR="00CA1B63" w:rsidRDefault="00E735FD" w:rsidP="00CA1B63">
      <w:pPr>
        <w:pStyle w:val="ListParagraph"/>
        <w:numPr>
          <w:ilvl w:val="0"/>
          <w:numId w:val="19"/>
        </w:numPr>
      </w:pPr>
      <w:r>
        <w:t>R</w:t>
      </w:r>
      <w:r w:rsidR="00CA1B63">
        <w:t xml:space="preserve">equires </w:t>
      </w:r>
      <w:r>
        <w:t xml:space="preserve">individuals </w:t>
      </w:r>
      <w:r w:rsidR="00CA1B63">
        <w:t>to provide information about themselves</w:t>
      </w:r>
    </w:p>
    <w:p w14:paraId="3CE8C008" w14:textId="56CEE3C9" w:rsidR="00CA1B63" w:rsidRDefault="00E735FD" w:rsidP="00CA1B63">
      <w:pPr>
        <w:pStyle w:val="ListParagraph"/>
        <w:numPr>
          <w:ilvl w:val="0"/>
          <w:numId w:val="19"/>
        </w:numPr>
      </w:pPr>
      <w:r>
        <w:t>May use</w:t>
      </w:r>
      <w:r w:rsidR="00CA1B63">
        <w:t xml:space="preserve"> information about individuals for a purpose it is not currently used for, or in a way it is not currently used</w:t>
      </w:r>
    </w:p>
    <w:p w14:paraId="5A056837" w14:textId="6D344FCC" w:rsidR="00B75D20" w:rsidRDefault="00B75D20" w:rsidP="00CA1B63">
      <w:pPr>
        <w:pStyle w:val="ListParagraph"/>
        <w:numPr>
          <w:ilvl w:val="0"/>
          <w:numId w:val="19"/>
        </w:numPr>
      </w:pPr>
      <w:r>
        <w:t>Disclose</w:t>
      </w:r>
      <w:r w:rsidR="00BA7A0F">
        <w:t>s</w:t>
      </w:r>
      <w:r>
        <w:t xml:space="preserve"> information to third parties (legal and natural persons)</w:t>
      </w:r>
      <w:r w:rsidR="00CE4E16">
        <w:t xml:space="preserve"> </w:t>
      </w:r>
      <w:r w:rsidR="00B56337">
        <w:t xml:space="preserve">who are part of the Scout Association </w:t>
      </w:r>
      <w:r w:rsidR="00BA7A0F">
        <w:t>or other statutory bodies</w:t>
      </w:r>
      <w:r w:rsidR="007403A8">
        <w:t>,</w:t>
      </w:r>
      <w:r w:rsidR="00BA7A0F">
        <w:t xml:space="preserve"> </w:t>
      </w:r>
      <w:r w:rsidR="00CE4E16">
        <w:t>where there is a need to disclose such information to assure the safety or safeguarding of our members, staff or members of the public</w:t>
      </w:r>
      <w:r w:rsidR="00B56337">
        <w:t>, or to manage complaints.</w:t>
      </w:r>
    </w:p>
    <w:p w14:paraId="0AE62D90" w14:textId="718CCA90" w:rsidR="00235A26" w:rsidRDefault="007D4C43" w:rsidP="00CA1B63">
      <w:pPr>
        <w:pStyle w:val="ListParagraph"/>
        <w:numPr>
          <w:ilvl w:val="0"/>
          <w:numId w:val="19"/>
        </w:numPr>
      </w:pPr>
      <w:r>
        <w:t xml:space="preserve">May </w:t>
      </w:r>
      <w:proofErr w:type="gramStart"/>
      <w:r>
        <w:t>t</w:t>
      </w:r>
      <w:r w:rsidR="00235A26">
        <w:t>ake action</w:t>
      </w:r>
      <w:proofErr w:type="gramEnd"/>
      <w:r w:rsidR="00235A26">
        <w:t xml:space="preserve"> against individuals based on personal data</w:t>
      </w:r>
      <w:r>
        <w:t>, which may have an impact in their employment or appointment status</w:t>
      </w:r>
    </w:p>
    <w:p w14:paraId="0291E91B" w14:textId="463B34B1" w:rsidR="00763D90" w:rsidRDefault="008D7FB4" w:rsidP="00763D90">
      <w:r>
        <w:rPr>
          <w:color w:val="FF0000"/>
        </w:rPr>
        <w:t>&lt;Scout Group&gt;</w:t>
      </w:r>
      <w:r w:rsidR="00477A85">
        <w:rPr>
          <w:color w:val="FF0000"/>
        </w:rPr>
        <w:t xml:space="preserve"> </w:t>
      </w:r>
      <w:r w:rsidR="00763D90">
        <w:t>does NOT</w:t>
      </w:r>
    </w:p>
    <w:p w14:paraId="73508ECF" w14:textId="6F3DD538" w:rsidR="00E735FD" w:rsidRDefault="00763D90" w:rsidP="00763D90">
      <w:pPr>
        <w:pStyle w:val="ListParagraph"/>
        <w:numPr>
          <w:ilvl w:val="0"/>
          <w:numId w:val="20"/>
        </w:numPr>
      </w:pPr>
      <w:r>
        <w:t>Collect information about or c</w:t>
      </w:r>
      <w:r w:rsidR="00CA1B63">
        <w:t>ontact individuals in ways that they may find intrusive</w:t>
      </w:r>
      <w:r w:rsidR="00E735FD" w:rsidRPr="00E735FD">
        <w:t xml:space="preserve"> </w:t>
      </w:r>
    </w:p>
    <w:p w14:paraId="5C4DA40A" w14:textId="5FAC5BFE" w:rsidR="00E735FD" w:rsidRDefault="00763D90" w:rsidP="00E735FD">
      <w:pPr>
        <w:pStyle w:val="ListParagraph"/>
        <w:numPr>
          <w:ilvl w:val="0"/>
          <w:numId w:val="19"/>
        </w:numPr>
      </w:pPr>
      <w:r>
        <w:t>D</w:t>
      </w:r>
      <w:r w:rsidR="00E735FD">
        <w:t>isclose</w:t>
      </w:r>
      <w:r>
        <w:t xml:space="preserve"> </w:t>
      </w:r>
      <w:r w:rsidR="00B56337">
        <w:t xml:space="preserve">any other </w:t>
      </w:r>
      <w:r>
        <w:t>personal information</w:t>
      </w:r>
      <w:r w:rsidR="00E735FD">
        <w:t xml:space="preserve"> to organisations or people </w:t>
      </w:r>
      <w:r w:rsidR="007403A8">
        <w:t>other than as described above</w:t>
      </w:r>
    </w:p>
    <w:p w14:paraId="43A03ACD" w14:textId="79C9AA09" w:rsidR="00E735FD" w:rsidRDefault="007403A8" w:rsidP="00E735FD">
      <w:pPr>
        <w:pStyle w:val="ListParagraph"/>
        <w:numPr>
          <w:ilvl w:val="0"/>
          <w:numId w:val="19"/>
        </w:numPr>
      </w:pPr>
      <w:r>
        <w:t xml:space="preserve">Use </w:t>
      </w:r>
      <w:r w:rsidR="00E735FD">
        <w:t>technology that might be perceived as being privacy intrusive</w:t>
      </w:r>
      <w:r>
        <w:t xml:space="preserve"> e.g.</w:t>
      </w:r>
      <w:r w:rsidR="00E735FD">
        <w:t xml:space="preserve"> the use of biometrics or facial recognition.</w:t>
      </w:r>
    </w:p>
    <w:p w14:paraId="4DB89AF2" w14:textId="6521EF1D" w:rsidR="00E735FD" w:rsidRDefault="007403A8" w:rsidP="00E735FD">
      <w:pPr>
        <w:pStyle w:val="ListParagraph"/>
        <w:numPr>
          <w:ilvl w:val="0"/>
          <w:numId w:val="19"/>
        </w:numPr>
      </w:pPr>
      <w:proofErr w:type="gramStart"/>
      <w:r>
        <w:t>Take</w:t>
      </w:r>
      <w:r w:rsidR="00E735FD">
        <w:t xml:space="preserve"> action</w:t>
      </w:r>
      <w:proofErr w:type="gramEnd"/>
      <w:r w:rsidR="00E735FD">
        <w:t xml:space="preserve"> against individuals in ways that can have a significant impact on them</w:t>
      </w:r>
      <w:r w:rsidR="00235A26">
        <w:t>, other than as described above</w:t>
      </w:r>
    </w:p>
    <w:p w14:paraId="61DF0958" w14:textId="08C03503" w:rsidR="00D34838" w:rsidRDefault="00DE053C" w:rsidP="00D34838">
      <w:r>
        <w:t xml:space="preserve">As a result of the above, the general data privacy </w:t>
      </w:r>
      <w:r w:rsidR="00865D82">
        <w:t>risk assessment has been conducted:</w:t>
      </w:r>
    </w:p>
    <w:tbl>
      <w:tblPr>
        <w:tblStyle w:val="TableGrid"/>
        <w:tblW w:w="0" w:type="auto"/>
        <w:tblLook w:val="04A0" w:firstRow="1" w:lastRow="0" w:firstColumn="1" w:lastColumn="0" w:noHBand="0" w:noVBand="1"/>
      </w:tblPr>
      <w:tblGrid>
        <w:gridCol w:w="2263"/>
        <w:gridCol w:w="2763"/>
        <w:gridCol w:w="2514"/>
        <w:gridCol w:w="2514"/>
      </w:tblGrid>
      <w:tr w:rsidR="00676700" w14:paraId="7D84394A" w14:textId="77777777" w:rsidTr="00C918B3">
        <w:tc>
          <w:tcPr>
            <w:tcW w:w="2263" w:type="dxa"/>
            <w:shd w:val="clear" w:color="auto" w:fill="E7E6E6" w:themeFill="background2"/>
          </w:tcPr>
          <w:p w14:paraId="7DB74070" w14:textId="7DC920CB" w:rsidR="00676700" w:rsidRPr="00676700" w:rsidRDefault="00676700" w:rsidP="00D34838">
            <w:pPr>
              <w:rPr>
                <w:b/>
              </w:rPr>
            </w:pPr>
            <w:r w:rsidRPr="00676700">
              <w:rPr>
                <w:b/>
              </w:rPr>
              <w:t>Privacy Issue</w:t>
            </w:r>
          </w:p>
        </w:tc>
        <w:tc>
          <w:tcPr>
            <w:tcW w:w="2763" w:type="dxa"/>
            <w:shd w:val="clear" w:color="auto" w:fill="E7E6E6" w:themeFill="background2"/>
          </w:tcPr>
          <w:p w14:paraId="7A300DE8" w14:textId="5DB679D8" w:rsidR="00676700" w:rsidRPr="00676700" w:rsidRDefault="00676700" w:rsidP="00D34838">
            <w:pPr>
              <w:rPr>
                <w:b/>
              </w:rPr>
            </w:pPr>
            <w:r w:rsidRPr="00676700">
              <w:rPr>
                <w:b/>
              </w:rPr>
              <w:t>Risks to Individuals</w:t>
            </w:r>
          </w:p>
        </w:tc>
        <w:tc>
          <w:tcPr>
            <w:tcW w:w="2514" w:type="dxa"/>
            <w:shd w:val="clear" w:color="auto" w:fill="E7E6E6" w:themeFill="background2"/>
          </w:tcPr>
          <w:p w14:paraId="20927BFD" w14:textId="06E8486C" w:rsidR="00676700" w:rsidRPr="00676700" w:rsidRDefault="00676700" w:rsidP="00D34838">
            <w:pPr>
              <w:rPr>
                <w:b/>
              </w:rPr>
            </w:pPr>
            <w:r w:rsidRPr="00676700">
              <w:rPr>
                <w:b/>
              </w:rPr>
              <w:t>Compliance Risk</w:t>
            </w:r>
          </w:p>
        </w:tc>
        <w:tc>
          <w:tcPr>
            <w:tcW w:w="2514" w:type="dxa"/>
            <w:shd w:val="clear" w:color="auto" w:fill="E7E6E6" w:themeFill="background2"/>
          </w:tcPr>
          <w:p w14:paraId="2EAB5262" w14:textId="037CAFB0" w:rsidR="00676700" w:rsidRPr="00676700" w:rsidRDefault="00676700" w:rsidP="00D34838">
            <w:pPr>
              <w:rPr>
                <w:b/>
              </w:rPr>
            </w:pPr>
            <w:r w:rsidRPr="00676700">
              <w:rPr>
                <w:b/>
              </w:rPr>
              <w:t>Associated organisational risk</w:t>
            </w:r>
          </w:p>
        </w:tc>
      </w:tr>
      <w:tr w:rsidR="008036C7" w14:paraId="07344BCC" w14:textId="77777777" w:rsidTr="00C918B3">
        <w:tc>
          <w:tcPr>
            <w:tcW w:w="2263" w:type="dxa"/>
          </w:tcPr>
          <w:p w14:paraId="7A72EE2C" w14:textId="453604B3" w:rsidR="008036C7" w:rsidRDefault="008036C7" w:rsidP="00D34838">
            <w:r>
              <w:t>Data inaccuracy</w:t>
            </w:r>
          </w:p>
        </w:tc>
        <w:tc>
          <w:tcPr>
            <w:tcW w:w="2763" w:type="dxa"/>
          </w:tcPr>
          <w:p w14:paraId="7445070B" w14:textId="68B00265" w:rsidR="008036C7" w:rsidRDefault="008036C7" w:rsidP="00D34838">
            <w:r>
              <w:t>Right to be informed</w:t>
            </w:r>
          </w:p>
          <w:p w14:paraId="5510BFB0" w14:textId="355813FC" w:rsidR="008036C7" w:rsidRDefault="008036C7" w:rsidP="00D34838">
            <w:r>
              <w:t>Right of access</w:t>
            </w:r>
          </w:p>
          <w:p w14:paraId="0F038417" w14:textId="53C0FF70" w:rsidR="008036C7" w:rsidRDefault="008036C7" w:rsidP="00D34838">
            <w:r>
              <w:t>Right to rectification</w:t>
            </w:r>
          </w:p>
          <w:p w14:paraId="349D7226" w14:textId="77777777" w:rsidR="008036C7" w:rsidRDefault="008036C7" w:rsidP="0054190F">
            <w:r>
              <w:t>Right to object</w:t>
            </w:r>
          </w:p>
          <w:p w14:paraId="13833255" w14:textId="77777777" w:rsidR="008036C7" w:rsidRDefault="008036C7" w:rsidP="0054190F">
            <w:r>
              <w:t>Right to data portability</w:t>
            </w:r>
          </w:p>
          <w:p w14:paraId="6A29A9B7" w14:textId="77777777" w:rsidR="008036C7" w:rsidRDefault="008036C7" w:rsidP="0054190F">
            <w:r>
              <w:t>Right to erase</w:t>
            </w:r>
          </w:p>
          <w:p w14:paraId="26281036" w14:textId="0EFFCF96" w:rsidR="008036C7" w:rsidRDefault="008036C7" w:rsidP="0054190F">
            <w:r>
              <w:t>Right to restrict processing</w:t>
            </w:r>
          </w:p>
        </w:tc>
        <w:tc>
          <w:tcPr>
            <w:tcW w:w="2514" w:type="dxa"/>
            <w:vMerge w:val="restart"/>
          </w:tcPr>
          <w:p w14:paraId="6141BDA6" w14:textId="77777777" w:rsidR="008036C7" w:rsidRDefault="008036C7" w:rsidP="00D34838">
            <w:r>
              <w:t>Inability to comply with applicable requirements of UK Data Protection Act 2017 (and EU GDPR)</w:t>
            </w:r>
          </w:p>
          <w:p w14:paraId="6A02B5C4" w14:textId="6781473B" w:rsidR="00D67BC9" w:rsidRDefault="00D67BC9" w:rsidP="00D34838">
            <w:r>
              <w:t>Inability to comply with Policy, Organisation and Rules of the Scout Association</w:t>
            </w:r>
          </w:p>
        </w:tc>
        <w:tc>
          <w:tcPr>
            <w:tcW w:w="2514" w:type="dxa"/>
            <w:vMerge w:val="restart"/>
          </w:tcPr>
          <w:p w14:paraId="2EE3258A" w14:textId="77777777" w:rsidR="008036C7" w:rsidRDefault="008036C7" w:rsidP="00D34838">
            <w:r>
              <w:t>Financial penalties</w:t>
            </w:r>
          </w:p>
          <w:p w14:paraId="5B23DC59" w14:textId="77777777" w:rsidR="008036C7" w:rsidRDefault="008036C7" w:rsidP="00D34838">
            <w:r>
              <w:t>Other enforcement actions</w:t>
            </w:r>
          </w:p>
          <w:p w14:paraId="05040B5B" w14:textId="09C92B89" w:rsidR="008036C7" w:rsidRDefault="008036C7" w:rsidP="00D34838">
            <w:r>
              <w:t>Reputational risk</w:t>
            </w:r>
          </w:p>
        </w:tc>
      </w:tr>
      <w:tr w:rsidR="008036C7" w14:paraId="75D54A78" w14:textId="77777777" w:rsidTr="00C918B3">
        <w:tc>
          <w:tcPr>
            <w:tcW w:w="2263" w:type="dxa"/>
          </w:tcPr>
          <w:p w14:paraId="5496B4DB" w14:textId="16D61142" w:rsidR="008036C7" w:rsidRDefault="008036C7" w:rsidP="00D34838">
            <w:r>
              <w:t>Data breach</w:t>
            </w:r>
          </w:p>
        </w:tc>
        <w:tc>
          <w:tcPr>
            <w:tcW w:w="2763" w:type="dxa"/>
          </w:tcPr>
          <w:p w14:paraId="34A521D5" w14:textId="37A56115" w:rsidR="008036C7" w:rsidRDefault="008036C7" w:rsidP="00D34838">
            <w:r>
              <w:t>Data confidentiality</w:t>
            </w:r>
          </w:p>
        </w:tc>
        <w:tc>
          <w:tcPr>
            <w:tcW w:w="2514" w:type="dxa"/>
            <w:vMerge/>
          </w:tcPr>
          <w:p w14:paraId="3E0FADEA" w14:textId="3E82CBE9" w:rsidR="008036C7" w:rsidRDefault="008036C7" w:rsidP="00D34838"/>
        </w:tc>
        <w:tc>
          <w:tcPr>
            <w:tcW w:w="2514" w:type="dxa"/>
            <w:vMerge/>
          </w:tcPr>
          <w:p w14:paraId="7A8FB30F" w14:textId="0843299F" w:rsidR="008036C7" w:rsidRDefault="008036C7" w:rsidP="00D34838"/>
        </w:tc>
      </w:tr>
      <w:tr w:rsidR="008036C7" w14:paraId="7D2054C7" w14:textId="77777777" w:rsidTr="00C918B3">
        <w:tc>
          <w:tcPr>
            <w:tcW w:w="2263" w:type="dxa"/>
          </w:tcPr>
          <w:p w14:paraId="1296DFE6" w14:textId="179EC3DA" w:rsidR="008036C7" w:rsidRDefault="008036C7" w:rsidP="00D34838">
            <w:r>
              <w:t>Data destruction</w:t>
            </w:r>
          </w:p>
        </w:tc>
        <w:tc>
          <w:tcPr>
            <w:tcW w:w="2763" w:type="dxa"/>
          </w:tcPr>
          <w:p w14:paraId="7164117F" w14:textId="77777777" w:rsidR="008036C7" w:rsidRDefault="008036C7" w:rsidP="00D34838">
            <w:r>
              <w:t>Right of access</w:t>
            </w:r>
          </w:p>
          <w:p w14:paraId="0FA82756" w14:textId="77777777" w:rsidR="008036C7" w:rsidRDefault="008036C7" w:rsidP="00D34838">
            <w:r>
              <w:t>Right to object</w:t>
            </w:r>
          </w:p>
          <w:p w14:paraId="379506E5" w14:textId="77777777" w:rsidR="008036C7" w:rsidRDefault="008036C7" w:rsidP="00D34838">
            <w:r>
              <w:t>Right to data portability</w:t>
            </w:r>
          </w:p>
          <w:p w14:paraId="4118293C" w14:textId="12836E8B" w:rsidR="008036C7" w:rsidRDefault="008036C7" w:rsidP="00D34838">
            <w:r>
              <w:t>Right to erase</w:t>
            </w:r>
          </w:p>
        </w:tc>
        <w:tc>
          <w:tcPr>
            <w:tcW w:w="2514" w:type="dxa"/>
            <w:vMerge/>
          </w:tcPr>
          <w:p w14:paraId="56F2C2DB" w14:textId="6C9266D7" w:rsidR="008036C7" w:rsidRDefault="008036C7" w:rsidP="004E405A"/>
        </w:tc>
        <w:tc>
          <w:tcPr>
            <w:tcW w:w="2514" w:type="dxa"/>
            <w:vMerge/>
          </w:tcPr>
          <w:p w14:paraId="3A2A2027" w14:textId="77777777" w:rsidR="008036C7" w:rsidRDefault="008036C7" w:rsidP="00D34838"/>
        </w:tc>
      </w:tr>
      <w:tr w:rsidR="008036C7" w14:paraId="29F15499" w14:textId="77777777" w:rsidTr="00C918B3">
        <w:tc>
          <w:tcPr>
            <w:tcW w:w="2263" w:type="dxa"/>
          </w:tcPr>
          <w:p w14:paraId="5C61439D" w14:textId="6A8BB2E1" w:rsidR="008036C7" w:rsidRDefault="008036C7" w:rsidP="00D34838">
            <w:r>
              <w:t>Data retention and processing beyond defined period</w:t>
            </w:r>
          </w:p>
        </w:tc>
        <w:tc>
          <w:tcPr>
            <w:tcW w:w="2763" w:type="dxa"/>
          </w:tcPr>
          <w:p w14:paraId="1A6BB87A" w14:textId="040CB965" w:rsidR="008036C7" w:rsidRDefault="008036C7" w:rsidP="00D34838">
            <w:r>
              <w:t>Right to restrict processing</w:t>
            </w:r>
          </w:p>
        </w:tc>
        <w:tc>
          <w:tcPr>
            <w:tcW w:w="2514" w:type="dxa"/>
            <w:vMerge/>
          </w:tcPr>
          <w:p w14:paraId="3190DD03" w14:textId="77777777" w:rsidR="008036C7" w:rsidRDefault="008036C7" w:rsidP="00D34838"/>
        </w:tc>
        <w:tc>
          <w:tcPr>
            <w:tcW w:w="2514" w:type="dxa"/>
            <w:vMerge/>
          </w:tcPr>
          <w:p w14:paraId="1D7B9AE0" w14:textId="77777777" w:rsidR="008036C7" w:rsidRDefault="008036C7" w:rsidP="00D34838"/>
        </w:tc>
      </w:tr>
    </w:tbl>
    <w:p w14:paraId="0B4CF9D6" w14:textId="77777777" w:rsidR="00865D82" w:rsidRDefault="00865D82" w:rsidP="00D34838"/>
    <w:p w14:paraId="2AFB6921" w14:textId="4E01435E" w:rsidR="00225EDD" w:rsidRDefault="00D67BC9" w:rsidP="000B57BE">
      <w:r>
        <w:t xml:space="preserve">In seeking to mitigate such risks, </w:t>
      </w:r>
      <w:r w:rsidR="000B57BE">
        <w:t>specific controls have been identified and documented in the county data protection policy</w:t>
      </w:r>
      <w:r w:rsidR="00D80848">
        <w:t>.</w:t>
      </w:r>
    </w:p>
    <w:p w14:paraId="21824172" w14:textId="1D157328" w:rsidR="007012D0" w:rsidRDefault="007012D0">
      <w:r>
        <w:br w:type="page"/>
      </w:r>
    </w:p>
    <w:p w14:paraId="2FA6178A" w14:textId="1200DE85" w:rsidR="007012D0" w:rsidRDefault="007012D0" w:rsidP="007012D0">
      <w:pPr>
        <w:rPr>
          <w:b/>
          <w:sz w:val="28"/>
        </w:rPr>
      </w:pPr>
      <w:r>
        <w:rPr>
          <w:b/>
          <w:sz w:val="28"/>
        </w:rPr>
        <w:lastRenderedPageBreak/>
        <w:t>Annex 2 – Complex Data Portability Requests</w:t>
      </w:r>
    </w:p>
    <w:p w14:paraId="11E1CCF2" w14:textId="7779FF7F" w:rsidR="007012D0" w:rsidRDefault="008D7FB4" w:rsidP="007012D0">
      <w:r>
        <w:rPr>
          <w:color w:val="FF0000"/>
        </w:rPr>
        <w:t>&lt;Scout Group&gt;</w:t>
      </w:r>
      <w:r w:rsidR="00477A85">
        <w:rPr>
          <w:color w:val="FF0000"/>
        </w:rPr>
        <w:t xml:space="preserve"> </w:t>
      </w:r>
      <w:r w:rsidR="007012D0">
        <w:t>considers the following data subject portability requests to be complex. Where this is the case, acknowledgement of the request should be provided to the data subject within 30 days of receiving the request and the data should be provided to the data subject (or an alternative data controller) as soon as possible, and always within 90 days of receiving the request.</w:t>
      </w:r>
    </w:p>
    <w:p w14:paraId="1E8016DA" w14:textId="56D6BBA3" w:rsidR="007012D0" w:rsidRDefault="007012D0" w:rsidP="007012D0">
      <w:pPr>
        <w:pStyle w:val="ListParagraph"/>
        <w:numPr>
          <w:ilvl w:val="0"/>
          <w:numId w:val="17"/>
        </w:numPr>
      </w:pPr>
      <w:r>
        <w:t xml:space="preserve">Any request involving multiple data stores from within the </w:t>
      </w:r>
      <w:r w:rsidR="008D7FB4">
        <w:rPr>
          <w:color w:val="FF0000"/>
        </w:rPr>
        <w:t>&lt;Scout Group&gt;</w:t>
      </w:r>
      <w:r>
        <w:t xml:space="preserve"> </w:t>
      </w:r>
      <w:r w:rsidR="00E30E18">
        <w:t xml:space="preserve">IT systems </w:t>
      </w:r>
      <w:r>
        <w:t>(e.g. email accounts, OneDrive folders, SharePoint sites [lists, folders, databases])</w:t>
      </w:r>
    </w:p>
    <w:p w14:paraId="32F97480" w14:textId="1E2FC408" w:rsidR="007012D0" w:rsidRDefault="007012D0" w:rsidP="007012D0">
      <w:pPr>
        <w:pStyle w:val="ListParagraph"/>
        <w:numPr>
          <w:ilvl w:val="0"/>
          <w:numId w:val="17"/>
        </w:numPr>
      </w:pPr>
      <w:r>
        <w:t xml:space="preserve">Any request involving a </w:t>
      </w:r>
      <w:r w:rsidR="008D7FB4">
        <w:rPr>
          <w:color w:val="FF0000"/>
        </w:rPr>
        <w:t>&lt;Scout Group&gt;</w:t>
      </w:r>
      <w:r>
        <w:t xml:space="preserve"> </w:t>
      </w:r>
      <w:r w:rsidR="00E30E18">
        <w:t>IT systems d</w:t>
      </w:r>
      <w:r>
        <w:t xml:space="preserve">ata store and any other system (e.g. </w:t>
      </w:r>
      <w:r w:rsidR="00E30E18">
        <w:rPr>
          <w:color w:val="FF0000"/>
        </w:rPr>
        <w:t>Online Scout Manager</w:t>
      </w:r>
      <w:r w:rsidRPr="003C2DE3">
        <w:rPr>
          <w:color w:val="FF0000"/>
        </w:rPr>
        <w:t xml:space="preserve">, </w:t>
      </w:r>
      <w:r>
        <w:t>Compass membership database etc)</w:t>
      </w:r>
    </w:p>
    <w:p w14:paraId="26F71B08" w14:textId="4645A4AB" w:rsidR="007012D0" w:rsidRDefault="007012D0" w:rsidP="007012D0">
      <w:pPr>
        <w:pStyle w:val="ListParagraph"/>
        <w:numPr>
          <w:ilvl w:val="0"/>
          <w:numId w:val="17"/>
        </w:numPr>
      </w:pPr>
      <w:r>
        <w:t xml:space="preserve">Any request involving data held by </w:t>
      </w:r>
      <w:r w:rsidR="008D7FB4">
        <w:rPr>
          <w:color w:val="FF0000"/>
        </w:rPr>
        <w:t>&lt;Scout Group&gt;</w:t>
      </w:r>
      <w:r w:rsidR="003C2DE3">
        <w:rPr>
          <w:color w:val="FF0000"/>
        </w:rPr>
        <w:t xml:space="preserve"> </w:t>
      </w:r>
      <w:r>
        <w:t>volunteers in personal (secure) storage locations</w:t>
      </w:r>
    </w:p>
    <w:p w14:paraId="70D4D526" w14:textId="40FA59A1" w:rsidR="007012D0" w:rsidRDefault="007012D0" w:rsidP="007012D0">
      <w:r>
        <w:t xml:space="preserve">All other such requests are considered simple and the data should be </w:t>
      </w:r>
      <w:r w:rsidR="004A4466">
        <w:t>made available or transferred</w:t>
      </w:r>
      <w:r>
        <w:t xml:space="preserve"> within 30 days of receiving the request.</w:t>
      </w:r>
    </w:p>
    <w:p w14:paraId="30020B71" w14:textId="2250779E" w:rsidR="007012D0" w:rsidRPr="00E161D5" w:rsidRDefault="007012D0" w:rsidP="007012D0">
      <w:r>
        <w:t xml:space="preserve">If in doubt, the Data Protection Officer, balancing the rights of the data subject and the ability of the </w:t>
      </w:r>
      <w:r w:rsidR="008D7FB4">
        <w:rPr>
          <w:color w:val="FF0000"/>
        </w:rPr>
        <w:t>&lt;Scout Group&gt;</w:t>
      </w:r>
      <w:r w:rsidR="003C2DE3">
        <w:rPr>
          <w:color w:val="FF0000"/>
        </w:rPr>
        <w:t xml:space="preserve"> </w:t>
      </w:r>
      <w:r>
        <w:t xml:space="preserve">to </w:t>
      </w:r>
      <w:r w:rsidR="004A4466">
        <w:t>transfer</w:t>
      </w:r>
      <w:r>
        <w:t xml:space="preserve"> the data, will provide a definitive determination of whether a data </w:t>
      </w:r>
      <w:r w:rsidR="004A4466">
        <w:t>transfer</w:t>
      </w:r>
      <w:r>
        <w:t xml:space="preserve"> request is considered simple or complex.</w:t>
      </w:r>
    </w:p>
    <w:p w14:paraId="5AEF769C" w14:textId="77777777" w:rsidR="007012D0" w:rsidRPr="00E161D5" w:rsidRDefault="007012D0" w:rsidP="000B57BE"/>
    <w:sectPr w:rsidR="007012D0" w:rsidRPr="00E161D5" w:rsidSect="0026136A">
      <w:pgSz w:w="11906" w:h="16838"/>
      <w:pgMar w:top="709"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46B"/>
    <w:multiLevelType w:val="hybridMultilevel"/>
    <w:tmpl w:val="EF10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F6348"/>
    <w:multiLevelType w:val="hybridMultilevel"/>
    <w:tmpl w:val="3C9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42A1"/>
    <w:multiLevelType w:val="hybridMultilevel"/>
    <w:tmpl w:val="CB3E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848B6"/>
    <w:multiLevelType w:val="hybridMultilevel"/>
    <w:tmpl w:val="686C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7242E"/>
    <w:multiLevelType w:val="hybridMultilevel"/>
    <w:tmpl w:val="5E9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045C5"/>
    <w:multiLevelType w:val="hybridMultilevel"/>
    <w:tmpl w:val="CB98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6707C"/>
    <w:multiLevelType w:val="hybridMultilevel"/>
    <w:tmpl w:val="04C68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4671F"/>
    <w:multiLevelType w:val="hybridMultilevel"/>
    <w:tmpl w:val="9DD4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1160E"/>
    <w:multiLevelType w:val="hybridMultilevel"/>
    <w:tmpl w:val="19B6E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32E65"/>
    <w:multiLevelType w:val="hybridMultilevel"/>
    <w:tmpl w:val="2382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307FC"/>
    <w:multiLevelType w:val="hybridMultilevel"/>
    <w:tmpl w:val="F2FA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70061"/>
    <w:multiLevelType w:val="hybridMultilevel"/>
    <w:tmpl w:val="5B56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97B45"/>
    <w:multiLevelType w:val="hybridMultilevel"/>
    <w:tmpl w:val="9EE4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4257B"/>
    <w:multiLevelType w:val="hybridMultilevel"/>
    <w:tmpl w:val="1358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A1128"/>
    <w:multiLevelType w:val="hybridMultilevel"/>
    <w:tmpl w:val="A3BE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7243D"/>
    <w:multiLevelType w:val="hybridMultilevel"/>
    <w:tmpl w:val="E65A9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A2DFC"/>
    <w:multiLevelType w:val="hybridMultilevel"/>
    <w:tmpl w:val="8CA0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84EFF"/>
    <w:multiLevelType w:val="hybridMultilevel"/>
    <w:tmpl w:val="B166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117D7"/>
    <w:multiLevelType w:val="hybridMultilevel"/>
    <w:tmpl w:val="A9CC7C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BE861D3"/>
    <w:multiLevelType w:val="hybridMultilevel"/>
    <w:tmpl w:val="A75E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C1D71"/>
    <w:multiLevelType w:val="hybridMultilevel"/>
    <w:tmpl w:val="4358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A70E9"/>
    <w:multiLevelType w:val="hybridMultilevel"/>
    <w:tmpl w:val="EE90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35D4A"/>
    <w:multiLevelType w:val="hybridMultilevel"/>
    <w:tmpl w:val="5154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635AE"/>
    <w:multiLevelType w:val="hybridMultilevel"/>
    <w:tmpl w:val="28083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14"/>
  </w:num>
  <w:num w:numId="4">
    <w:abstractNumId w:val="23"/>
  </w:num>
  <w:num w:numId="5">
    <w:abstractNumId w:val="3"/>
  </w:num>
  <w:num w:numId="6">
    <w:abstractNumId w:val="22"/>
  </w:num>
  <w:num w:numId="7">
    <w:abstractNumId w:val="4"/>
  </w:num>
  <w:num w:numId="8">
    <w:abstractNumId w:val="17"/>
  </w:num>
  <w:num w:numId="9">
    <w:abstractNumId w:val="1"/>
  </w:num>
  <w:num w:numId="10">
    <w:abstractNumId w:val="21"/>
  </w:num>
  <w:num w:numId="11">
    <w:abstractNumId w:val="5"/>
  </w:num>
  <w:num w:numId="12">
    <w:abstractNumId w:val="12"/>
  </w:num>
  <w:num w:numId="13">
    <w:abstractNumId w:val="8"/>
  </w:num>
  <w:num w:numId="14">
    <w:abstractNumId w:val="6"/>
  </w:num>
  <w:num w:numId="15">
    <w:abstractNumId w:val="15"/>
  </w:num>
  <w:num w:numId="16">
    <w:abstractNumId w:val="10"/>
  </w:num>
  <w:num w:numId="17">
    <w:abstractNumId w:val="20"/>
  </w:num>
  <w:num w:numId="18">
    <w:abstractNumId w:val="18"/>
  </w:num>
  <w:num w:numId="19">
    <w:abstractNumId w:val="2"/>
  </w:num>
  <w:num w:numId="20">
    <w:abstractNumId w:val="11"/>
  </w:num>
  <w:num w:numId="21">
    <w:abstractNumId w:val="0"/>
  </w:num>
  <w:num w:numId="22">
    <w:abstractNumId w:val="16"/>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01"/>
    <w:rsid w:val="00000454"/>
    <w:rsid w:val="00000FBC"/>
    <w:rsid w:val="00002D73"/>
    <w:rsid w:val="00003D46"/>
    <w:rsid w:val="00006091"/>
    <w:rsid w:val="00015FC1"/>
    <w:rsid w:val="00022C82"/>
    <w:rsid w:val="00025EAF"/>
    <w:rsid w:val="00025EFB"/>
    <w:rsid w:val="000309FE"/>
    <w:rsid w:val="00033A89"/>
    <w:rsid w:val="0003576F"/>
    <w:rsid w:val="000357B8"/>
    <w:rsid w:val="00040D92"/>
    <w:rsid w:val="00042F63"/>
    <w:rsid w:val="00051D61"/>
    <w:rsid w:val="00055EE7"/>
    <w:rsid w:val="00061E50"/>
    <w:rsid w:val="000753E3"/>
    <w:rsid w:val="0007738F"/>
    <w:rsid w:val="0008152C"/>
    <w:rsid w:val="000819DF"/>
    <w:rsid w:val="0008589F"/>
    <w:rsid w:val="00090587"/>
    <w:rsid w:val="0009129B"/>
    <w:rsid w:val="00095726"/>
    <w:rsid w:val="00096FF8"/>
    <w:rsid w:val="000A09EA"/>
    <w:rsid w:val="000A4676"/>
    <w:rsid w:val="000A53EC"/>
    <w:rsid w:val="000B394C"/>
    <w:rsid w:val="000B4D1F"/>
    <w:rsid w:val="000B4D88"/>
    <w:rsid w:val="000B57BE"/>
    <w:rsid w:val="000B6939"/>
    <w:rsid w:val="000C35B7"/>
    <w:rsid w:val="000C7D39"/>
    <w:rsid w:val="000D214A"/>
    <w:rsid w:val="000D7142"/>
    <w:rsid w:val="000E1E49"/>
    <w:rsid w:val="000E3270"/>
    <w:rsid w:val="000F7200"/>
    <w:rsid w:val="0010380F"/>
    <w:rsid w:val="00105065"/>
    <w:rsid w:val="0010694D"/>
    <w:rsid w:val="00110947"/>
    <w:rsid w:val="0011326A"/>
    <w:rsid w:val="001137CD"/>
    <w:rsid w:val="00113DBE"/>
    <w:rsid w:val="00114DBB"/>
    <w:rsid w:val="00115AA7"/>
    <w:rsid w:val="00115DEE"/>
    <w:rsid w:val="00116559"/>
    <w:rsid w:val="00120488"/>
    <w:rsid w:val="00120F41"/>
    <w:rsid w:val="00121988"/>
    <w:rsid w:val="0013138F"/>
    <w:rsid w:val="001337AD"/>
    <w:rsid w:val="0013473B"/>
    <w:rsid w:val="00134DCE"/>
    <w:rsid w:val="00137CAA"/>
    <w:rsid w:val="00141604"/>
    <w:rsid w:val="00146FA0"/>
    <w:rsid w:val="00147592"/>
    <w:rsid w:val="00147C26"/>
    <w:rsid w:val="001511CF"/>
    <w:rsid w:val="00152379"/>
    <w:rsid w:val="00155451"/>
    <w:rsid w:val="00156406"/>
    <w:rsid w:val="0015672A"/>
    <w:rsid w:val="00156E91"/>
    <w:rsid w:val="0016171A"/>
    <w:rsid w:val="00166229"/>
    <w:rsid w:val="00167099"/>
    <w:rsid w:val="00176183"/>
    <w:rsid w:val="00181A1E"/>
    <w:rsid w:val="0019107B"/>
    <w:rsid w:val="00192381"/>
    <w:rsid w:val="001977AF"/>
    <w:rsid w:val="001A3A7F"/>
    <w:rsid w:val="001A7354"/>
    <w:rsid w:val="001B1A54"/>
    <w:rsid w:val="001B3AD7"/>
    <w:rsid w:val="001B4097"/>
    <w:rsid w:val="001B5BD6"/>
    <w:rsid w:val="001B6DD0"/>
    <w:rsid w:val="001C0699"/>
    <w:rsid w:val="001C08CC"/>
    <w:rsid w:val="001C0A65"/>
    <w:rsid w:val="001C289C"/>
    <w:rsid w:val="001C383E"/>
    <w:rsid w:val="001C3F66"/>
    <w:rsid w:val="001C417E"/>
    <w:rsid w:val="001C52D9"/>
    <w:rsid w:val="001C71E0"/>
    <w:rsid w:val="001C7905"/>
    <w:rsid w:val="001D046A"/>
    <w:rsid w:val="001D1B2C"/>
    <w:rsid w:val="001D5002"/>
    <w:rsid w:val="001D7366"/>
    <w:rsid w:val="001E05F0"/>
    <w:rsid w:val="001E15F2"/>
    <w:rsid w:val="001E3CBC"/>
    <w:rsid w:val="001E3E9E"/>
    <w:rsid w:val="001E4746"/>
    <w:rsid w:val="001E662D"/>
    <w:rsid w:val="001E7298"/>
    <w:rsid w:val="001F0C08"/>
    <w:rsid w:val="001F3FCE"/>
    <w:rsid w:val="00201FAF"/>
    <w:rsid w:val="00204389"/>
    <w:rsid w:val="00204EB1"/>
    <w:rsid w:val="00206BF4"/>
    <w:rsid w:val="00207B78"/>
    <w:rsid w:val="002148C8"/>
    <w:rsid w:val="0022004B"/>
    <w:rsid w:val="002257C5"/>
    <w:rsid w:val="00225EDD"/>
    <w:rsid w:val="00226C43"/>
    <w:rsid w:val="002270D6"/>
    <w:rsid w:val="0023227C"/>
    <w:rsid w:val="00235A26"/>
    <w:rsid w:val="00237756"/>
    <w:rsid w:val="002407BC"/>
    <w:rsid w:val="002408A3"/>
    <w:rsid w:val="0024203D"/>
    <w:rsid w:val="00243FE7"/>
    <w:rsid w:val="00245D1B"/>
    <w:rsid w:val="002460AF"/>
    <w:rsid w:val="00252A7C"/>
    <w:rsid w:val="002571DE"/>
    <w:rsid w:val="0026136A"/>
    <w:rsid w:val="00264C6A"/>
    <w:rsid w:val="00275506"/>
    <w:rsid w:val="00275C07"/>
    <w:rsid w:val="002764DA"/>
    <w:rsid w:val="00277D60"/>
    <w:rsid w:val="00282AC2"/>
    <w:rsid w:val="00286BEE"/>
    <w:rsid w:val="00287004"/>
    <w:rsid w:val="002902DA"/>
    <w:rsid w:val="002A333F"/>
    <w:rsid w:val="002A3D1E"/>
    <w:rsid w:val="002A4418"/>
    <w:rsid w:val="002A5939"/>
    <w:rsid w:val="002A6E5B"/>
    <w:rsid w:val="002B3A57"/>
    <w:rsid w:val="002C1E54"/>
    <w:rsid w:val="002D0306"/>
    <w:rsid w:val="002D52E3"/>
    <w:rsid w:val="002E67B4"/>
    <w:rsid w:val="002E6F19"/>
    <w:rsid w:val="002E744D"/>
    <w:rsid w:val="002F12DC"/>
    <w:rsid w:val="002F505C"/>
    <w:rsid w:val="003008B9"/>
    <w:rsid w:val="0030092D"/>
    <w:rsid w:val="00302665"/>
    <w:rsid w:val="00304DE4"/>
    <w:rsid w:val="00311161"/>
    <w:rsid w:val="0031535A"/>
    <w:rsid w:val="003167E0"/>
    <w:rsid w:val="0033407B"/>
    <w:rsid w:val="003359F6"/>
    <w:rsid w:val="00351473"/>
    <w:rsid w:val="00353393"/>
    <w:rsid w:val="00354242"/>
    <w:rsid w:val="003549A5"/>
    <w:rsid w:val="00356ACE"/>
    <w:rsid w:val="003573D4"/>
    <w:rsid w:val="003617DA"/>
    <w:rsid w:val="003635C2"/>
    <w:rsid w:val="00365940"/>
    <w:rsid w:val="003702A7"/>
    <w:rsid w:val="00371E43"/>
    <w:rsid w:val="003809CA"/>
    <w:rsid w:val="00381430"/>
    <w:rsid w:val="003822AE"/>
    <w:rsid w:val="00382A9B"/>
    <w:rsid w:val="003836D2"/>
    <w:rsid w:val="00391632"/>
    <w:rsid w:val="003A401F"/>
    <w:rsid w:val="003A45CA"/>
    <w:rsid w:val="003A5D02"/>
    <w:rsid w:val="003B14A6"/>
    <w:rsid w:val="003B1B03"/>
    <w:rsid w:val="003B2096"/>
    <w:rsid w:val="003B4A12"/>
    <w:rsid w:val="003B6C7C"/>
    <w:rsid w:val="003C0C9F"/>
    <w:rsid w:val="003C2DE3"/>
    <w:rsid w:val="003C35E2"/>
    <w:rsid w:val="003D09C5"/>
    <w:rsid w:val="003D6217"/>
    <w:rsid w:val="003D6901"/>
    <w:rsid w:val="003E20DE"/>
    <w:rsid w:val="003E2ABB"/>
    <w:rsid w:val="003E5370"/>
    <w:rsid w:val="003F011F"/>
    <w:rsid w:val="003F2695"/>
    <w:rsid w:val="003F745B"/>
    <w:rsid w:val="003F788A"/>
    <w:rsid w:val="00404C70"/>
    <w:rsid w:val="00410767"/>
    <w:rsid w:val="0041180C"/>
    <w:rsid w:val="0041460A"/>
    <w:rsid w:val="00415208"/>
    <w:rsid w:val="00420C22"/>
    <w:rsid w:val="00423BB7"/>
    <w:rsid w:val="00432B9E"/>
    <w:rsid w:val="004332B5"/>
    <w:rsid w:val="00434018"/>
    <w:rsid w:val="00434B7D"/>
    <w:rsid w:val="00435DAA"/>
    <w:rsid w:val="00440B74"/>
    <w:rsid w:val="004434F9"/>
    <w:rsid w:val="004446EA"/>
    <w:rsid w:val="00446AC1"/>
    <w:rsid w:val="004471D9"/>
    <w:rsid w:val="00451A18"/>
    <w:rsid w:val="00451F96"/>
    <w:rsid w:val="00455536"/>
    <w:rsid w:val="00455CA3"/>
    <w:rsid w:val="004639EB"/>
    <w:rsid w:val="00463B34"/>
    <w:rsid w:val="004709AE"/>
    <w:rsid w:val="00474926"/>
    <w:rsid w:val="00476022"/>
    <w:rsid w:val="004762B4"/>
    <w:rsid w:val="00477A85"/>
    <w:rsid w:val="00477B53"/>
    <w:rsid w:val="004818CA"/>
    <w:rsid w:val="00483240"/>
    <w:rsid w:val="00484174"/>
    <w:rsid w:val="00484A4A"/>
    <w:rsid w:val="00484F1A"/>
    <w:rsid w:val="004854BC"/>
    <w:rsid w:val="00487495"/>
    <w:rsid w:val="00496A25"/>
    <w:rsid w:val="0049712E"/>
    <w:rsid w:val="004A064E"/>
    <w:rsid w:val="004A070E"/>
    <w:rsid w:val="004A143C"/>
    <w:rsid w:val="004A150B"/>
    <w:rsid w:val="004A4466"/>
    <w:rsid w:val="004A67F6"/>
    <w:rsid w:val="004B2B6C"/>
    <w:rsid w:val="004B63D5"/>
    <w:rsid w:val="004C2249"/>
    <w:rsid w:val="004C530C"/>
    <w:rsid w:val="004C5501"/>
    <w:rsid w:val="004D0126"/>
    <w:rsid w:val="004D1FCF"/>
    <w:rsid w:val="004D26A4"/>
    <w:rsid w:val="004D37EF"/>
    <w:rsid w:val="004D7229"/>
    <w:rsid w:val="004D78A5"/>
    <w:rsid w:val="004E405A"/>
    <w:rsid w:val="004E44B4"/>
    <w:rsid w:val="004E4617"/>
    <w:rsid w:val="004E485F"/>
    <w:rsid w:val="004E4874"/>
    <w:rsid w:val="004F2CE7"/>
    <w:rsid w:val="004F548C"/>
    <w:rsid w:val="00500226"/>
    <w:rsid w:val="005006F0"/>
    <w:rsid w:val="00502CCD"/>
    <w:rsid w:val="00502ECA"/>
    <w:rsid w:val="005105FB"/>
    <w:rsid w:val="00510868"/>
    <w:rsid w:val="005142CF"/>
    <w:rsid w:val="005160D0"/>
    <w:rsid w:val="005178BC"/>
    <w:rsid w:val="005221E8"/>
    <w:rsid w:val="00534ABE"/>
    <w:rsid w:val="005372AE"/>
    <w:rsid w:val="00537A77"/>
    <w:rsid w:val="0054051D"/>
    <w:rsid w:val="0054190F"/>
    <w:rsid w:val="00546083"/>
    <w:rsid w:val="00547A18"/>
    <w:rsid w:val="005524E6"/>
    <w:rsid w:val="005601B0"/>
    <w:rsid w:val="00561C4A"/>
    <w:rsid w:val="00562F79"/>
    <w:rsid w:val="0056358D"/>
    <w:rsid w:val="00564338"/>
    <w:rsid w:val="00565BE1"/>
    <w:rsid w:val="005701BC"/>
    <w:rsid w:val="005759B3"/>
    <w:rsid w:val="00581637"/>
    <w:rsid w:val="00582AAF"/>
    <w:rsid w:val="00582D41"/>
    <w:rsid w:val="00583487"/>
    <w:rsid w:val="00583493"/>
    <w:rsid w:val="0059104D"/>
    <w:rsid w:val="005926BF"/>
    <w:rsid w:val="005A18CE"/>
    <w:rsid w:val="005A1C40"/>
    <w:rsid w:val="005A6E5C"/>
    <w:rsid w:val="005B025B"/>
    <w:rsid w:val="005B2C0F"/>
    <w:rsid w:val="005B42F4"/>
    <w:rsid w:val="005B5FB0"/>
    <w:rsid w:val="005C4D01"/>
    <w:rsid w:val="005D6545"/>
    <w:rsid w:val="005D68EC"/>
    <w:rsid w:val="005F03A2"/>
    <w:rsid w:val="005F7913"/>
    <w:rsid w:val="00600027"/>
    <w:rsid w:val="00603985"/>
    <w:rsid w:val="006053A1"/>
    <w:rsid w:val="00611629"/>
    <w:rsid w:val="00613023"/>
    <w:rsid w:val="00622571"/>
    <w:rsid w:val="00625902"/>
    <w:rsid w:val="0062782D"/>
    <w:rsid w:val="00627975"/>
    <w:rsid w:val="0064158D"/>
    <w:rsid w:val="00643600"/>
    <w:rsid w:val="00643C20"/>
    <w:rsid w:val="00652981"/>
    <w:rsid w:val="00653A3E"/>
    <w:rsid w:val="00657480"/>
    <w:rsid w:val="006642F0"/>
    <w:rsid w:val="00667A49"/>
    <w:rsid w:val="00667C0F"/>
    <w:rsid w:val="00671F93"/>
    <w:rsid w:val="00676700"/>
    <w:rsid w:val="00680326"/>
    <w:rsid w:val="0068462D"/>
    <w:rsid w:val="00685F22"/>
    <w:rsid w:val="00690EAC"/>
    <w:rsid w:val="00691877"/>
    <w:rsid w:val="006929D3"/>
    <w:rsid w:val="00693553"/>
    <w:rsid w:val="0069397C"/>
    <w:rsid w:val="006A54FF"/>
    <w:rsid w:val="006B1ECE"/>
    <w:rsid w:val="006B3939"/>
    <w:rsid w:val="006B4AD4"/>
    <w:rsid w:val="006B650E"/>
    <w:rsid w:val="006C051D"/>
    <w:rsid w:val="006C0A96"/>
    <w:rsid w:val="006C0BAE"/>
    <w:rsid w:val="006C1C55"/>
    <w:rsid w:val="006C67D3"/>
    <w:rsid w:val="006C6E5D"/>
    <w:rsid w:val="006D005F"/>
    <w:rsid w:val="006D0BC3"/>
    <w:rsid w:val="006D386E"/>
    <w:rsid w:val="006D5095"/>
    <w:rsid w:val="006D5C42"/>
    <w:rsid w:val="006E6175"/>
    <w:rsid w:val="006E6B2B"/>
    <w:rsid w:val="006F28F5"/>
    <w:rsid w:val="006F48F6"/>
    <w:rsid w:val="006F4A09"/>
    <w:rsid w:val="006F791D"/>
    <w:rsid w:val="006F7B97"/>
    <w:rsid w:val="007012D0"/>
    <w:rsid w:val="00715456"/>
    <w:rsid w:val="00716AC6"/>
    <w:rsid w:val="00720C8A"/>
    <w:rsid w:val="00722FEE"/>
    <w:rsid w:val="00723AD9"/>
    <w:rsid w:val="00726491"/>
    <w:rsid w:val="00727938"/>
    <w:rsid w:val="00732792"/>
    <w:rsid w:val="0073378A"/>
    <w:rsid w:val="0073543B"/>
    <w:rsid w:val="007375D7"/>
    <w:rsid w:val="007403A8"/>
    <w:rsid w:val="007429EE"/>
    <w:rsid w:val="0074319D"/>
    <w:rsid w:val="00743BF7"/>
    <w:rsid w:val="0074788D"/>
    <w:rsid w:val="007522D0"/>
    <w:rsid w:val="00752390"/>
    <w:rsid w:val="00752A72"/>
    <w:rsid w:val="00760229"/>
    <w:rsid w:val="007612EC"/>
    <w:rsid w:val="00763D90"/>
    <w:rsid w:val="00764369"/>
    <w:rsid w:val="00765868"/>
    <w:rsid w:val="007665EF"/>
    <w:rsid w:val="00771D1F"/>
    <w:rsid w:val="00772BD5"/>
    <w:rsid w:val="00773646"/>
    <w:rsid w:val="00773988"/>
    <w:rsid w:val="00773A06"/>
    <w:rsid w:val="00776BE5"/>
    <w:rsid w:val="007801A6"/>
    <w:rsid w:val="00782F56"/>
    <w:rsid w:val="0079510D"/>
    <w:rsid w:val="007A329F"/>
    <w:rsid w:val="007A643C"/>
    <w:rsid w:val="007A696B"/>
    <w:rsid w:val="007B272B"/>
    <w:rsid w:val="007B3CDB"/>
    <w:rsid w:val="007B529B"/>
    <w:rsid w:val="007B79D1"/>
    <w:rsid w:val="007C3D4B"/>
    <w:rsid w:val="007C713A"/>
    <w:rsid w:val="007D1F82"/>
    <w:rsid w:val="007D260C"/>
    <w:rsid w:val="007D3409"/>
    <w:rsid w:val="007D4649"/>
    <w:rsid w:val="007D4C43"/>
    <w:rsid w:val="007D4D84"/>
    <w:rsid w:val="007D5D4D"/>
    <w:rsid w:val="007D7547"/>
    <w:rsid w:val="007E1A6E"/>
    <w:rsid w:val="007E1BA6"/>
    <w:rsid w:val="007E44E0"/>
    <w:rsid w:val="007E7934"/>
    <w:rsid w:val="007F149F"/>
    <w:rsid w:val="007F44E4"/>
    <w:rsid w:val="007F4CF6"/>
    <w:rsid w:val="007F6D3C"/>
    <w:rsid w:val="007F7ABD"/>
    <w:rsid w:val="007F7F05"/>
    <w:rsid w:val="0080079B"/>
    <w:rsid w:val="00800E2C"/>
    <w:rsid w:val="00801E2F"/>
    <w:rsid w:val="008036C7"/>
    <w:rsid w:val="00803D30"/>
    <w:rsid w:val="008060C2"/>
    <w:rsid w:val="00810706"/>
    <w:rsid w:val="00810C2A"/>
    <w:rsid w:val="008120D0"/>
    <w:rsid w:val="008121F3"/>
    <w:rsid w:val="008122D0"/>
    <w:rsid w:val="008128D6"/>
    <w:rsid w:val="008153E9"/>
    <w:rsid w:val="00816B33"/>
    <w:rsid w:val="00817E87"/>
    <w:rsid w:val="00830E10"/>
    <w:rsid w:val="00834CC2"/>
    <w:rsid w:val="008355B3"/>
    <w:rsid w:val="00836179"/>
    <w:rsid w:val="0084000C"/>
    <w:rsid w:val="0084131A"/>
    <w:rsid w:val="008427A2"/>
    <w:rsid w:val="00843B8B"/>
    <w:rsid w:val="00847BD1"/>
    <w:rsid w:val="00847E99"/>
    <w:rsid w:val="0085022B"/>
    <w:rsid w:val="008506B2"/>
    <w:rsid w:val="0085572F"/>
    <w:rsid w:val="00863A3C"/>
    <w:rsid w:val="00863C72"/>
    <w:rsid w:val="0086408E"/>
    <w:rsid w:val="00865517"/>
    <w:rsid w:val="00865D82"/>
    <w:rsid w:val="00865D8A"/>
    <w:rsid w:val="00870CF5"/>
    <w:rsid w:val="00871DD5"/>
    <w:rsid w:val="00872930"/>
    <w:rsid w:val="00874C02"/>
    <w:rsid w:val="00875862"/>
    <w:rsid w:val="00876756"/>
    <w:rsid w:val="00877245"/>
    <w:rsid w:val="0087746D"/>
    <w:rsid w:val="008804A3"/>
    <w:rsid w:val="008828DD"/>
    <w:rsid w:val="00882B07"/>
    <w:rsid w:val="00882E48"/>
    <w:rsid w:val="00885477"/>
    <w:rsid w:val="00886447"/>
    <w:rsid w:val="008867DE"/>
    <w:rsid w:val="00887792"/>
    <w:rsid w:val="0088792B"/>
    <w:rsid w:val="00892D9B"/>
    <w:rsid w:val="00896E34"/>
    <w:rsid w:val="008A01C1"/>
    <w:rsid w:val="008A10AB"/>
    <w:rsid w:val="008A1288"/>
    <w:rsid w:val="008A2FE8"/>
    <w:rsid w:val="008A50BE"/>
    <w:rsid w:val="008A69BC"/>
    <w:rsid w:val="008A7A12"/>
    <w:rsid w:val="008B0040"/>
    <w:rsid w:val="008B0459"/>
    <w:rsid w:val="008B79FA"/>
    <w:rsid w:val="008C0209"/>
    <w:rsid w:val="008C052E"/>
    <w:rsid w:val="008C0CE3"/>
    <w:rsid w:val="008C1C35"/>
    <w:rsid w:val="008C7C54"/>
    <w:rsid w:val="008D0564"/>
    <w:rsid w:val="008D3F8E"/>
    <w:rsid w:val="008D5379"/>
    <w:rsid w:val="008D5F26"/>
    <w:rsid w:val="008D7FB4"/>
    <w:rsid w:val="008E0D9E"/>
    <w:rsid w:val="008E3E62"/>
    <w:rsid w:val="008E530D"/>
    <w:rsid w:val="008E6209"/>
    <w:rsid w:val="008F2B78"/>
    <w:rsid w:val="008F423C"/>
    <w:rsid w:val="008F69A3"/>
    <w:rsid w:val="009013B5"/>
    <w:rsid w:val="009030BB"/>
    <w:rsid w:val="00903386"/>
    <w:rsid w:val="0090424B"/>
    <w:rsid w:val="00904263"/>
    <w:rsid w:val="00910AEA"/>
    <w:rsid w:val="00913121"/>
    <w:rsid w:val="009132BC"/>
    <w:rsid w:val="009132E0"/>
    <w:rsid w:val="00920FDD"/>
    <w:rsid w:val="0092107A"/>
    <w:rsid w:val="009224AC"/>
    <w:rsid w:val="00922B40"/>
    <w:rsid w:val="0092390A"/>
    <w:rsid w:val="00927F11"/>
    <w:rsid w:val="00935748"/>
    <w:rsid w:val="009358E1"/>
    <w:rsid w:val="00937DFA"/>
    <w:rsid w:val="009455D5"/>
    <w:rsid w:val="00946F6D"/>
    <w:rsid w:val="00946F71"/>
    <w:rsid w:val="00953D9D"/>
    <w:rsid w:val="00953E60"/>
    <w:rsid w:val="00954511"/>
    <w:rsid w:val="00954B24"/>
    <w:rsid w:val="00955612"/>
    <w:rsid w:val="00960137"/>
    <w:rsid w:val="009603FD"/>
    <w:rsid w:val="009631B0"/>
    <w:rsid w:val="00965F41"/>
    <w:rsid w:val="009704D3"/>
    <w:rsid w:val="00976053"/>
    <w:rsid w:val="00980C25"/>
    <w:rsid w:val="00980C64"/>
    <w:rsid w:val="00984F3E"/>
    <w:rsid w:val="00984F8C"/>
    <w:rsid w:val="00986134"/>
    <w:rsid w:val="00992ADC"/>
    <w:rsid w:val="00992C6E"/>
    <w:rsid w:val="00996A70"/>
    <w:rsid w:val="00997189"/>
    <w:rsid w:val="009A086A"/>
    <w:rsid w:val="009A38CD"/>
    <w:rsid w:val="009A5CA5"/>
    <w:rsid w:val="009A7BEB"/>
    <w:rsid w:val="009B362C"/>
    <w:rsid w:val="009C1DE2"/>
    <w:rsid w:val="009C2C8A"/>
    <w:rsid w:val="009C3167"/>
    <w:rsid w:val="009C7F79"/>
    <w:rsid w:val="009E2E91"/>
    <w:rsid w:val="009E618E"/>
    <w:rsid w:val="009E659F"/>
    <w:rsid w:val="009E7365"/>
    <w:rsid w:val="009F2511"/>
    <w:rsid w:val="009F3FE7"/>
    <w:rsid w:val="00A009D7"/>
    <w:rsid w:val="00A0190D"/>
    <w:rsid w:val="00A0564B"/>
    <w:rsid w:val="00A06304"/>
    <w:rsid w:val="00A0638E"/>
    <w:rsid w:val="00A162D6"/>
    <w:rsid w:val="00A17476"/>
    <w:rsid w:val="00A2188B"/>
    <w:rsid w:val="00A255AD"/>
    <w:rsid w:val="00A30AF8"/>
    <w:rsid w:val="00A339D8"/>
    <w:rsid w:val="00A33E39"/>
    <w:rsid w:val="00A518DD"/>
    <w:rsid w:val="00A54EA7"/>
    <w:rsid w:val="00A56FF7"/>
    <w:rsid w:val="00A570CD"/>
    <w:rsid w:val="00A62287"/>
    <w:rsid w:val="00A64862"/>
    <w:rsid w:val="00A649D2"/>
    <w:rsid w:val="00A65F71"/>
    <w:rsid w:val="00A67F95"/>
    <w:rsid w:val="00A71CE6"/>
    <w:rsid w:val="00A730A1"/>
    <w:rsid w:val="00A73E1E"/>
    <w:rsid w:val="00A7532B"/>
    <w:rsid w:val="00A75E2C"/>
    <w:rsid w:val="00A84C9A"/>
    <w:rsid w:val="00A861CD"/>
    <w:rsid w:val="00A977F3"/>
    <w:rsid w:val="00AA4F5F"/>
    <w:rsid w:val="00AA513F"/>
    <w:rsid w:val="00AA7B3E"/>
    <w:rsid w:val="00AB1855"/>
    <w:rsid w:val="00AB31EB"/>
    <w:rsid w:val="00AB5E98"/>
    <w:rsid w:val="00AB6F34"/>
    <w:rsid w:val="00AC6BDE"/>
    <w:rsid w:val="00AC7820"/>
    <w:rsid w:val="00AD0DDE"/>
    <w:rsid w:val="00AD3C35"/>
    <w:rsid w:val="00AD78E2"/>
    <w:rsid w:val="00AE171B"/>
    <w:rsid w:val="00AE5203"/>
    <w:rsid w:val="00AE5CBB"/>
    <w:rsid w:val="00AF0CCB"/>
    <w:rsid w:val="00AF3D14"/>
    <w:rsid w:val="00AF4CB9"/>
    <w:rsid w:val="00AF5A19"/>
    <w:rsid w:val="00AF6FF8"/>
    <w:rsid w:val="00AF7A59"/>
    <w:rsid w:val="00B03181"/>
    <w:rsid w:val="00B0683E"/>
    <w:rsid w:val="00B070E6"/>
    <w:rsid w:val="00B100DE"/>
    <w:rsid w:val="00B115A3"/>
    <w:rsid w:val="00B21548"/>
    <w:rsid w:val="00B242A6"/>
    <w:rsid w:val="00B354E7"/>
    <w:rsid w:val="00B400F8"/>
    <w:rsid w:val="00B420AF"/>
    <w:rsid w:val="00B42427"/>
    <w:rsid w:val="00B45ED9"/>
    <w:rsid w:val="00B46BCE"/>
    <w:rsid w:val="00B56337"/>
    <w:rsid w:val="00B56464"/>
    <w:rsid w:val="00B57CC2"/>
    <w:rsid w:val="00B62CEE"/>
    <w:rsid w:val="00B67073"/>
    <w:rsid w:val="00B6736B"/>
    <w:rsid w:val="00B67C37"/>
    <w:rsid w:val="00B72E25"/>
    <w:rsid w:val="00B73C39"/>
    <w:rsid w:val="00B748B3"/>
    <w:rsid w:val="00B75D20"/>
    <w:rsid w:val="00B77621"/>
    <w:rsid w:val="00B8095E"/>
    <w:rsid w:val="00B82485"/>
    <w:rsid w:val="00B86F56"/>
    <w:rsid w:val="00B93134"/>
    <w:rsid w:val="00B93287"/>
    <w:rsid w:val="00B97A39"/>
    <w:rsid w:val="00BA0DC3"/>
    <w:rsid w:val="00BA1813"/>
    <w:rsid w:val="00BA61EC"/>
    <w:rsid w:val="00BA7A0F"/>
    <w:rsid w:val="00BB0107"/>
    <w:rsid w:val="00BB0976"/>
    <w:rsid w:val="00BB1F4E"/>
    <w:rsid w:val="00BB422B"/>
    <w:rsid w:val="00BC1C5C"/>
    <w:rsid w:val="00BC22F4"/>
    <w:rsid w:val="00BC4139"/>
    <w:rsid w:val="00BC480F"/>
    <w:rsid w:val="00BC517E"/>
    <w:rsid w:val="00BC5D30"/>
    <w:rsid w:val="00BD24D4"/>
    <w:rsid w:val="00BD27C7"/>
    <w:rsid w:val="00BD4F4D"/>
    <w:rsid w:val="00BD7659"/>
    <w:rsid w:val="00BE10A7"/>
    <w:rsid w:val="00BE181B"/>
    <w:rsid w:val="00BF19D4"/>
    <w:rsid w:val="00BF2932"/>
    <w:rsid w:val="00BF78BA"/>
    <w:rsid w:val="00C0021F"/>
    <w:rsid w:val="00C01819"/>
    <w:rsid w:val="00C03A38"/>
    <w:rsid w:val="00C04A49"/>
    <w:rsid w:val="00C076C9"/>
    <w:rsid w:val="00C07FA5"/>
    <w:rsid w:val="00C11BD2"/>
    <w:rsid w:val="00C14B82"/>
    <w:rsid w:val="00C16FBC"/>
    <w:rsid w:val="00C20A49"/>
    <w:rsid w:val="00C30FFC"/>
    <w:rsid w:val="00C3282F"/>
    <w:rsid w:val="00C3465A"/>
    <w:rsid w:val="00C360CA"/>
    <w:rsid w:val="00C371FF"/>
    <w:rsid w:val="00C414EC"/>
    <w:rsid w:val="00C42AAF"/>
    <w:rsid w:val="00C45BB9"/>
    <w:rsid w:val="00C47371"/>
    <w:rsid w:val="00C509D6"/>
    <w:rsid w:val="00C525D8"/>
    <w:rsid w:val="00C54369"/>
    <w:rsid w:val="00C55916"/>
    <w:rsid w:val="00C600CA"/>
    <w:rsid w:val="00C725E9"/>
    <w:rsid w:val="00C74A5D"/>
    <w:rsid w:val="00C80509"/>
    <w:rsid w:val="00C918B3"/>
    <w:rsid w:val="00CA11C3"/>
    <w:rsid w:val="00CA1442"/>
    <w:rsid w:val="00CA1B63"/>
    <w:rsid w:val="00CA5E6E"/>
    <w:rsid w:val="00CB5893"/>
    <w:rsid w:val="00CB598E"/>
    <w:rsid w:val="00CC5008"/>
    <w:rsid w:val="00CC5B34"/>
    <w:rsid w:val="00CC626F"/>
    <w:rsid w:val="00CD15FD"/>
    <w:rsid w:val="00CD17F0"/>
    <w:rsid w:val="00CD2E1B"/>
    <w:rsid w:val="00CD3B44"/>
    <w:rsid w:val="00CD42A0"/>
    <w:rsid w:val="00CD67C0"/>
    <w:rsid w:val="00CE1105"/>
    <w:rsid w:val="00CE173B"/>
    <w:rsid w:val="00CE27DA"/>
    <w:rsid w:val="00CE32DC"/>
    <w:rsid w:val="00CE4033"/>
    <w:rsid w:val="00CE4E16"/>
    <w:rsid w:val="00CF1A40"/>
    <w:rsid w:val="00CF4965"/>
    <w:rsid w:val="00D05552"/>
    <w:rsid w:val="00D066E3"/>
    <w:rsid w:val="00D07580"/>
    <w:rsid w:val="00D100E6"/>
    <w:rsid w:val="00D14B68"/>
    <w:rsid w:val="00D24307"/>
    <w:rsid w:val="00D2714E"/>
    <w:rsid w:val="00D34838"/>
    <w:rsid w:val="00D34BD6"/>
    <w:rsid w:val="00D351B8"/>
    <w:rsid w:val="00D357C0"/>
    <w:rsid w:val="00D36ED3"/>
    <w:rsid w:val="00D446A4"/>
    <w:rsid w:val="00D514B3"/>
    <w:rsid w:val="00D568BE"/>
    <w:rsid w:val="00D60E69"/>
    <w:rsid w:val="00D61A11"/>
    <w:rsid w:val="00D61D82"/>
    <w:rsid w:val="00D6563C"/>
    <w:rsid w:val="00D66F82"/>
    <w:rsid w:val="00D67BC9"/>
    <w:rsid w:val="00D70473"/>
    <w:rsid w:val="00D70490"/>
    <w:rsid w:val="00D7124E"/>
    <w:rsid w:val="00D71B62"/>
    <w:rsid w:val="00D73622"/>
    <w:rsid w:val="00D775C8"/>
    <w:rsid w:val="00D77FB9"/>
    <w:rsid w:val="00D80848"/>
    <w:rsid w:val="00D80FCD"/>
    <w:rsid w:val="00D812D6"/>
    <w:rsid w:val="00D813B3"/>
    <w:rsid w:val="00D8202D"/>
    <w:rsid w:val="00D835DD"/>
    <w:rsid w:val="00D83A21"/>
    <w:rsid w:val="00D87923"/>
    <w:rsid w:val="00DA0C0B"/>
    <w:rsid w:val="00DA1559"/>
    <w:rsid w:val="00DA19EC"/>
    <w:rsid w:val="00DA3179"/>
    <w:rsid w:val="00DA36E1"/>
    <w:rsid w:val="00DA63F9"/>
    <w:rsid w:val="00DA6E39"/>
    <w:rsid w:val="00DB12C7"/>
    <w:rsid w:val="00DB3AD7"/>
    <w:rsid w:val="00DB432E"/>
    <w:rsid w:val="00DB7997"/>
    <w:rsid w:val="00DC2540"/>
    <w:rsid w:val="00DC6DDA"/>
    <w:rsid w:val="00DC7A80"/>
    <w:rsid w:val="00DD34CE"/>
    <w:rsid w:val="00DD48C5"/>
    <w:rsid w:val="00DD7BF6"/>
    <w:rsid w:val="00DE053C"/>
    <w:rsid w:val="00DE2CEC"/>
    <w:rsid w:val="00DE5B21"/>
    <w:rsid w:val="00DF14CE"/>
    <w:rsid w:val="00DF5E74"/>
    <w:rsid w:val="00DF6227"/>
    <w:rsid w:val="00DF6E82"/>
    <w:rsid w:val="00DF7603"/>
    <w:rsid w:val="00E04CB7"/>
    <w:rsid w:val="00E051BC"/>
    <w:rsid w:val="00E0594F"/>
    <w:rsid w:val="00E05A08"/>
    <w:rsid w:val="00E07A92"/>
    <w:rsid w:val="00E11175"/>
    <w:rsid w:val="00E11337"/>
    <w:rsid w:val="00E11BF6"/>
    <w:rsid w:val="00E1315C"/>
    <w:rsid w:val="00E161D5"/>
    <w:rsid w:val="00E25173"/>
    <w:rsid w:val="00E27137"/>
    <w:rsid w:val="00E30E18"/>
    <w:rsid w:val="00E32C73"/>
    <w:rsid w:val="00E33713"/>
    <w:rsid w:val="00E36042"/>
    <w:rsid w:val="00E36DC5"/>
    <w:rsid w:val="00E375FF"/>
    <w:rsid w:val="00E4046C"/>
    <w:rsid w:val="00E419C4"/>
    <w:rsid w:val="00E41E9A"/>
    <w:rsid w:val="00E42795"/>
    <w:rsid w:val="00E427DB"/>
    <w:rsid w:val="00E42D76"/>
    <w:rsid w:val="00E448F9"/>
    <w:rsid w:val="00E4776C"/>
    <w:rsid w:val="00E4792E"/>
    <w:rsid w:val="00E52CCC"/>
    <w:rsid w:val="00E53C15"/>
    <w:rsid w:val="00E55C66"/>
    <w:rsid w:val="00E575CC"/>
    <w:rsid w:val="00E57DBE"/>
    <w:rsid w:val="00E6111E"/>
    <w:rsid w:val="00E6285A"/>
    <w:rsid w:val="00E70B6D"/>
    <w:rsid w:val="00E735FD"/>
    <w:rsid w:val="00E738C5"/>
    <w:rsid w:val="00E73F32"/>
    <w:rsid w:val="00E75085"/>
    <w:rsid w:val="00E83CAF"/>
    <w:rsid w:val="00E871F8"/>
    <w:rsid w:val="00EA3036"/>
    <w:rsid w:val="00EA3B5B"/>
    <w:rsid w:val="00EA4EEA"/>
    <w:rsid w:val="00EA666B"/>
    <w:rsid w:val="00EB3769"/>
    <w:rsid w:val="00EB405F"/>
    <w:rsid w:val="00EB485F"/>
    <w:rsid w:val="00EB5483"/>
    <w:rsid w:val="00EC30CF"/>
    <w:rsid w:val="00EC7A4B"/>
    <w:rsid w:val="00ED5AAA"/>
    <w:rsid w:val="00ED63B8"/>
    <w:rsid w:val="00ED711D"/>
    <w:rsid w:val="00EE08AC"/>
    <w:rsid w:val="00EE0997"/>
    <w:rsid w:val="00EE5D2E"/>
    <w:rsid w:val="00EF1423"/>
    <w:rsid w:val="00EF2211"/>
    <w:rsid w:val="00EF364B"/>
    <w:rsid w:val="00EF747C"/>
    <w:rsid w:val="00F032FD"/>
    <w:rsid w:val="00F13A3E"/>
    <w:rsid w:val="00F16B35"/>
    <w:rsid w:val="00F252F2"/>
    <w:rsid w:val="00F274C8"/>
    <w:rsid w:val="00F311AE"/>
    <w:rsid w:val="00F31D3C"/>
    <w:rsid w:val="00F32344"/>
    <w:rsid w:val="00F420BD"/>
    <w:rsid w:val="00F452AE"/>
    <w:rsid w:val="00F47CE3"/>
    <w:rsid w:val="00F53875"/>
    <w:rsid w:val="00F53B69"/>
    <w:rsid w:val="00F55261"/>
    <w:rsid w:val="00F5620C"/>
    <w:rsid w:val="00F5721E"/>
    <w:rsid w:val="00F57358"/>
    <w:rsid w:val="00F67ABB"/>
    <w:rsid w:val="00F71224"/>
    <w:rsid w:val="00F74910"/>
    <w:rsid w:val="00F76064"/>
    <w:rsid w:val="00F825AB"/>
    <w:rsid w:val="00F85A31"/>
    <w:rsid w:val="00F8671F"/>
    <w:rsid w:val="00F874BD"/>
    <w:rsid w:val="00F907BB"/>
    <w:rsid w:val="00F91F88"/>
    <w:rsid w:val="00F93042"/>
    <w:rsid w:val="00F95801"/>
    <w:rsid w:val="00FA17B9"/>
    <w:rsid w:val="00FA284A"/>
    <w:rsid w:val="00FB0721"/>
    <w:rsid w:val="00FB3C60"/>
    <w:rsid w:val="00FB4117"/>
    <w:rsid w:val="00FB7979"/>
    <w:rsid w:val="00FC149C"/>
    <w:rsid w:val="00FC1999"/>
    <w:rsid w:val="00FD078D"/>
    <w:rsid w:val="00FD08B8"/>
    <w:rsid w:val="00FD1A3A"/>
    <w:rsid w:val="00FD1D1C"/>
    <w:rsid w:val="00FD64F4"/>
    <w:rsid w:val="00FD6ECD"/>
    <w:rsid w:val="00FE3683"/>
    <w:rsid w:val="00FE4932"/>
    <w:rsid w:val="00FE53CD"/>
    <w:rsid w:val="00FF09D3"/>
    <w:rsid w:val="00FF2635"/>
    <w:rsid w:val="00FF28D7"/>
    <w:rsid w:val="00FF430E"/>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0D6126"/>
  <w15:chartTrackingRefBased/>
  <w15:docId w15:val="{E8AE64A6-4321-4057-B8B8-BC4E8842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F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01"/>
    <w:pPr>
      <w:ind w:left="720"/>
      <w:contextualSpacing/>
    </w:pPr>
  </w:style>
  <w:style w:type="table" w:styleId="TableGrid">
    <w:name w:val="Table Grid"/>
    <w:basedOn w:val="TableNormal"/>
    <w:uiPriority w:val="39"/>
    <w:rsid w:val="003D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4033"/>
    <w:rPr>
      <w:sz w:val="16"/>
      <w:szCs w:val="16"/>
    </w:rPr>
  </w:style>
  <w:style w:type="paragraph" w:styleId="CommentText">
    <w:name w:val="annotation text"/>
    <w:basedOn w:val="Normal"/>
    <w:link w:val="CommentTextChar"/>
    <w:uiPriority w:val="99"/>
    <w:semiHidden/>
    <w:unhideWhenUsed/>
    <w:rsid w:val="00CE4033"/>
    <w:pPr>
      <w:spacing w:line="240" w:lineRule="auto"/>
    </w:pPr>
    <w:rPr>
      <w:sz w:val="20"/>
      <w:szCs w:val="20"/>
    </w:rPr>
  </w:style>
  <w:style w:type="character" w:customStyle="1" w:styleId="CommentTextChar">
    <w:name w:val="Comment Text Char"/>
    <w:basedOn w:val="DefaultParagraphFont"/>
    <w:link w:val="CommentText"/>
    <w:uiPriority w:val="99"/>
    <w:semiHidden/>
    <w:rsid w:val="00CE4033"/>
    <w:rPr>
      <w:sz w:val="20"/>
      <w:szCs w:val="20"/>
    </w:rPr>
  </w:style>
  <w:style w:type="paragraph" w:styleId="CommentSubject">
    <w:name w:val="annotation subject"/>
    <w:basedOn w:val="CommentText"/>
    <w:next w:val="CommentText"/>
    <w:link w:val="CommentSubjectChar"/>
    <w:uiPriority w:val="99"/>
    <w:semiHidden/>
    <w:unhideWhenUsed/>
    <w:rsid w:val="00CE4033"/>
    <w:rPr>
      <w:b/>
      <w:bCs/>
    </w:rPr>
  </w:style>
  <w:style w:type="character" w:customStyle="1" w:styleId="CommentSubjectChar">
    <w:name w:val="Comment Subject Char"/>
    <w:basedOn w:val="CommentTextChar"/>
    <w:link w:val="CommentSubject"/>
    <w:uiPriority w:val="99"/>
    <w:semiHidden/>
    <w:rsid w:val="00CE4033"/>
    <w:rPr>
      <w:b/>
      <w:bCs/>
      <w:sz w:val="20"/>
      <w:szCs w:val="20"/>
    </w:rPr>
  </w:style>
  <w:style w:type="paragraph" w:styleId="BalloonText">
    <w:name w:val="Balloon Text"/>
    <w:basedOn w:val="Normal"/>
    <w:link w:val="BalloonTextChar"/>
    <w:uiPriority w:val="99"/>
    <w:semiHidden/>
    <w:unhideWhenUsed/>
    <w:rsid w:val="00CE4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033"/>
    <w:rPr>
      <w:rFonts w:ascii="Segoe UI" w:hAnsi="Segoe UI" w:cs="Segoe UI"/>
      <w:sz w:val="18"/>
      <w:szCs w:val="18"/>
    </w:rPr>
  </w:style>
  <w:style w:type="character" w:styleId="Hyperlink">
    <w:name w:val="Hyperlink"/>
    <w:basedOn w:val="DefaultParagraphFont"/>
    <w:uiPriority w:val="99"/>
    <w:unhideWhenUsed/>
    <w:rsid w:val="00834CC2"/>
    <w:rPr>
      <w:color w:val="0563C1" w:themeColor="hyperlink"/>
      <w:u w:val="single"/>
    </w:rPr>
  </w:style>
  <w:style w:type="paragraph" w:styleId="Revision">
    <w:name w:val="Revision"/>
    <w:hidden/>
    <w:uiPriority w:val="99"/>
    <w:semiHidden/>
    <w:rsid w:val="004A064E"/>
    <w:pPr>
      <w:spacing w:after="0" w:line="240" w:lineRule="auto"/>
    </w:pPr>
  </w:style>
  <w:style w:type="character" w:styleId="FollowedHyperlink">
    <w:name w:val="FollowedHyperlink"/>
    <w:basedOn w:val="DefaultParagraphFont"/>
    <w:uiPriority w:val="99"/>
    <w:semiHidden/>
    <w:unhideWhenUsed/>
    <w:rsid w:val="00AF5A19"/>
    <w:rPr>
      <w:color w:val="954F72" w:themeColor="followedHyperlink"/>
      <w:u w:val="single"/>
    </w:rPr>
  </w:style>
  <w:style w:type="paragraph" w:customStyle="1" w:styleId="btlogo">
    <w:name w:val="btlogo"/>
    <w:basedOn w:val="Normal"/>
    <w:rsid w:val="00892D9B"/>
    <w:pPr>
      <w:spacing w:before="120" w:after="0" w:line="240" w:lineRule="atLeast"/>
      <w:ind w:left="-709"/>
      <w:jc w:val="right"/>
    </w:pPr>
    <w:rPr>
      <w:rFonts w:ascii="Arial" w:eastAsia="Times New Roman" w:hAnsi="Arial" w:cs="Times New Roman"/>
      <w:bCs/>
      <w:sz w:val="24"/>
      <w:szCs w:val="28"/>
    </w:rPr>
  </w:style>
  <w:style w:type="paragraph" w:customStyle="1" w:styleId="btheading">
    <w:name w:val="btheading"/>
    <w:basedOn w:val="Normal"/>
    <w:rsid w:val="00892D9B"/>
    <w:pPr>
      <w:tabs>
        <w:tab w:val="right" w:pos="9214"/>
      </w:tabs>
      <w:spacing w:before="520" w:after="240" w:line="240" w:lineRule="atLeast"/>
      <w:ind w:left="-709" w:right="-709"/>
    </w:pPr>
    <w:rPr>
      <w:rFonts w:ascii="Arial" w:eastAsia="Times New Roman" w:hAnsi="Arial" w:cs="Times New Roman"/>
      <w:iCs/>
      <w:sz w:val="56"/>
      <w:szCs w:val="28"/>
    </w:rPr>
  </w:style>
  <w:style w:type="character" w:customStyle="1" w:styleId="Heading1Char">
    <w:name w:val="Heading 1 Char"/>
    <w:basedOn w:val="DefaultParagraphFont"/>
    <w:link w:val="Heading1"/>
    <w:uiPriority w:val="9"/>
    <w:rsid w:val="00782F5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80C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458">
      <w:bodyDiv w:val="1"/>
      <w:marLeft w:val="0"/>
      <w:marRight w:val="0"/>
      <w:marTop w:val="0"/>
      <w:marBottom w:val="0"/>
      <w:divBdr>
        <w:top w:val="none" w:sz="0" w:space="0" w:color="auto"/>
        <w:left w:val="none" w:sz="0" w:space="0" w:color="auto"/>
        <w:bottom w:val="none" w:sz="0" w:space="0" w:color="auto"/>
        <w:right w:val="none" w:sz="0" w:space="0" w:color="auto"/>
      </w:divBdr>
    </w:div>
    <w:div w:id="660501538">
      <w:bodyDiv w:val="1"/>
      <w:marLeft w:val="0"/>
      <w:marRight w:val="0"/>
      <w:marTop w:val="0"/>
      <w:marBottom w:val="0"/>
      <w:divBdr>
        <w:top w:val="none" w:sz="0" w:space="0" w:color="auto"/>
        <w:left w:val="none" w:sz="0" w:space="0" w:color="auto"/>
        <w:bottom w:val="none" w:sz="0" w:space="0" w:color="auto"/>
        <w:right w:val="none" w:sz="0" w:space="0" w:color="auto"/>
      </w:divBdr>
      <w:divsChild>
        <w:div w:id="1330907034">
          <w:marLeft w:val="0"/>
          <w:marRight w:val="0"/>
          <w:marTop w:val="0"/>
          <w:marBottom w:val="0"/>
          <w:divBdr>
            <w:top w:val="none" w:sz="0" w:space="0" w:color="auto"/>
            <w:left w:val="none" w:sz="0" w:space="0" w:color="auto"/>
            <w:bottom w:val="none" w:sz="0" w:space="0" w:color="auto"/>
            <w:right w:val="none" w:sz="0" w:space="0" w:color="auto"/>
          </w:divBdr>
          <w:divsChild>
            <w:div w:id="1451901211">
              <w:marLeft w:val="0"/>
              <w:marRight w:val="0"/>
              <w:marTop w:val="0"/>
              <w:marBottom w:val="0"/>
              <w:divBdr>
                <w:top w:val="none" w:sz="0" w:space="0" w:color="auto"/>
                <w:left w:val="none" w:sz="0" w:space="0" w:color="auto"/>
                <w:bottom w:val="none" w:sz="0" w:space="0" w:color="auto"/>
                <w:right w:val="none" w:sz="0" w:space="0" w:color="auto"/>
              </w:divBdr>
              <w:divsChild>
                <w:div w:id="272172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27099879">
      <w:bodyDiv w:val="1"/>
      <w:marLeft w:val="0"/>
      <w:marRight w:val="0"/>
      <w:marTop w:val="0"/>
      <w:marBottom w:val="0"/>
      <w:divBdr>
        <w:top w:val="none" w:sz="0" w:space="0" w:color="auto"/>
        <w:left w:val="none" w:sz="0" w:space="0" w:color="auto"/>
        <w:bottom w:val="none" w:sz="0" w:space="0" w:color="auto"/>
        <w:right w:val="none" w:sz="0" w:space="0" w:color="auto"/>
      </w:divBdr>
      <w:divsChild>
        <w:div w:id="951673457">
          <w:marLeft w:val="0"/>
          <w:marRight w:val="0"/>
          <w:marTop w:val="0"/>
          <w:marBottom w:val="0"/>
          <w:divBdr>
            <w:top w:val="none" w:sz="0" w:space="0" w:color="auto"/>
            <w:left w:val="none" w:sz="0" w:space="0" w:color="auto"/>
            <w:bottom w:val="none" w:sz="0" w:space="0" w:color="auto"/>
            <w:right w:val="none" w:sz="0" w:space="0" w:color="auto"/>
          </w:divBdr>
          <w:divsChild>
            <w:div w:id="791829548">
              <w:marLeft w:val="0"/>
              <w:marRight w:val="0"/>
              <w:marTop w:val="0"/>
              <w:marBottom w:val="0"/>
              <w:divBdr>
                <w:top w:val="none" w:sz="0" w:space="0" w:color="auto"/>
                <w:left w:val="none" w:sz="0" w:space="0" w:color="auto"/>
                <w:bottom w:val="none" w:sz="0" w:space="0" w:color="auto"/>
                <w:right w:val="none" w:sz="0" w:space="0" w:color="auto"/>
              </w:divBdr>
              <w:divsChild>
                <w:div w:id="1409578150">
                  <w:marLeft w:val="0"/>
                  <w:marRight w:val="0"/>
                  <w:marTop w:val="0"/>
                  <w:marBottom w:val="480"/>
                  <w:divBdr>
                    <w:top w:val="none" w:sz="0" w:space="0" w:color="auto"/>
                    <w:left w:val="none" w:sz="0" w:space="0" w:color="auto"/>
                    <w:bottom w:val="none" w:sz="0" w:space="0" w:color="auto"/>
                    <w:right w:val="none" w:sz="0" w:space="0" w:color="auto"/>
                  </w:divBdr>
                  <w:divsChild>
                    <w:div w:id="144935012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co.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3BB7-D37F-4169-AD8F-70D35B8F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Hammond,IJ,Ian,HKO12 R</dc:creator>
  <cp:keywords/>
  <dc:description/>
  <cp:lastModifiedBy>Matt Butterfield</cp:lastModifiedBy>
  <cp:revision>2</cp:revision>
  <dcterms:created xsi:type="dcterms:W3CDTF">2021-03-04T11:42:00Z</dcterms:created>
  <dcterms:modified xsi:type="dcterms:W3CDTF">2021-03-04T11:42:00Z</dcterms:modified>
</cp:coreProperties>
</file>